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C18B" w14:textId="7BD1717F" w:rsidR="009075FA" w:rsidRPr="00BC616D" w:rsidRDefault="009075FA" w:rsidP="009075FA">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Majandus- </w:t>
      </w:r>
      <w:r w:rsidRPr="00CC6D46">
        <w:rPr>
          <w:rFonts w:ascii="Arial" w:eastAsia="DINPro" w:hAnsi="Arial" w:cs="Arial"/>
          <w:sz w:val="24"/>
          <w:szCs w:val="24"/>
          <w:lang w:val="et-EE"/>
        </w:rPr>
        <w:t>ja Kommunikatsiooniministeerium</w:t>
      </w:r>
      <w:r>
        <w:rPr>
          <w:rFonts w:ascii="Arial" w:eastAsia="DINPro" w:hAnsi="Arial" w:cs="Arial"/>
          <w:sz w:val="24"/>
          <w:szCs w:val="24"/>
          <w:lang w:val="et-EE"/>
        </w:rPr>
        <w:tab/>
        <w:t>Teie 14.02.2024</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sidRPr="009075FA">
        <w:rPr>
          <w:rFonts w:ascii="Arial" w:eastAsia="DINPro" w:hAnsi="Arial" w:cs="Arial"/>
          <w:sz w:val="24"/>
          <w:szCs w:val="24"/>
          <w:lang w:val="et-EE"/>
        </w:rPr>
        <w:t>2-2/446-1</w:t>
      </w:r>
      <w:r w:rsidRPr="00BC616D">
        <w:rPr>
          <w:rFonts w:ascii="Arial" w:eastAsia="DINPro" w:hAnsi="Arial" w:cs="Arial"/>
          <w:sz w:val="24"/>
          <w:szCs w:val="24"/>
          <w:lang w:val="et-EE"/>
        </w:rPr>
        <w:t xml:space="preserve"> </w:t>
      </w:r>
    </w:p>
    <w:p w14:paraId="1B54D59A" w14:textId="55B636C8" w:rsidR="009075FA" w:rsidRPr="002F1E7F" w:rsidRDefault="00BC1177" w:rsidP="009075FA">
      <w:pPr>
        <w:tabs>
          <w:tab w:val="left" w:pos="5245"/>
        </w:tabs>
        <w:spacing w:after="0" w:line="240" w:lineRule="auto"/>
        <w:jc w:val="both"/>
        <w:rPr>
          <w:rFonts w:ascii="Arial" w:eastAsia="DINPro" w:hAnsi="Arial" w:cs="Arial"/>
          <w:sz w:val="24"/>
          <w:szCs w:val="24"/>
          <w:lang w:val="et-EE"/>
        </w:rPr>
      </w:pPr>
      <w:hyperlink r:id="rId8" w:history="1">
        <w:r w:rsidR="009075FA" w:rsidRPr="003169C2">
          <w:rPr>
            <w:rStyle w:val="Hyperlink"/>
            <w:rFonts w:ascii="Arial" w:eastAsia="DINPro" w:hAnsi="Arial" w:cs="Arial"/>
            <w:sz w:val="24"/>
            <w:szCs w:val="24"/>
          </w:rPr>
          <w:t>info@mkm.ee</w:t>
        </w:r>
      </w:hyperlink>
      <w:r w:rsidR="009075FA">
        <w:rPr>
          <w:rFonts w:ascii="Arial" w:eastAsia="DINPro" w:hAnsi="Arial" w:cs="Arial"/>
          <w:sz w:val="24"/>
          <w:szCs w:val="24"/>
          <w:lang w:val="et-EE"/>
        </w:rPr>
        <w:t xml:space="preserve"> </w:t>
      </w:r>
      <w:r w:rsidR="009075FA" w:rsidRPr="002F1E7F">
        <w:rPr>
          <w:rFonts w:ascii="Arial" w:eastAsia="DINPro" w:hAnsi="Arial" w:cs="Arial"/>
          <w:sz w:val="24"/>
          <w:szCs w:val="24"/>
          <w:lang w:val="et-EE"/>
        </w:rPr>
        <w:tab/>
      </w:r>
      <w:r w:rsidR="009075FA" w:rsidRPr="005B3803">
        <w:rPr>
          <w:rFonts w:ascii="Arial" w:eastAsia="DINPro" w:hAnsi="Arial" w:cs="Arial"/>
          <w:sz w:val="24"/>
          <w:szCs w:val="24"/>
          <w:lang w:val="et-EE"/>
        </w:rPr>
        <w:t xml:space="preserve">Meie </w:t>
      </w:r>
      <w:r w:rsidR="009075FA">
        <w:rPr>
          <w:rFonts w:ascii="Arial" w:eastAsia="DINPro" w:hAnsi="Arial" w:cs="Arial"/>
          <w:sz w:val="24"/>
          <w:szCs w:val="24"/>
          <w:lang w:val="et-EE"/>
        </w:rPr>
        <w:t>0</w:t>
      </w:r>
      <w:r w:rsidR="00777A6B">
        <w:rPr>
          <w:rFonts w:ascii="Arial" w:eastAsia="DINPro" w:hAnsi="Arial" w:cs="Arial"/>
          <w:sz w:val="24"/>
          <w:szCs w:val="24"/>
          <w:lang w:val="et-EE"/>
        </w:rPr>
        <w:t>7</w:t>
      </w:r>
      <w:r w:rsidR="009075FA">
        <w:rPr>
          <w:rFonts w:ascii="Arial" w:eastAsia="DINPro" w:hAnsi="Arial" w:cs="Arial"/>
          <w:sz w:val="24"/>
          <w:szCs w:val="24"/>
          <w:lang w:val="et-EE"/>
        </w:rPr>
        <w:t>.</w:t>
      </w:r>
      <w:r w:rsidR="00CB51A1">
        <w:rPr>
          <w:rFonts w:ascii="Arial" w:eastAsia="DINPro" w:hAnsi="Arial" w:cs="Arial"/>
          <w:sz w:val="24"/>
          <w:szCs w:val="24"/>
          <w:lang w:val="et-EE"/>
        </w:rPr>
        <w:t>03</w:t>
      </w:r>
      <w:r w:rsidR="009075FA">
        <w:rPr>
          <w:rFonts w:ascii="Arial" w:eastAsia="DINPro" w:hAnsi="Arial" w:cs="Arial"/>
          <w:sz w:val="24"/>
          <w:szCs w:val="24"/>
          <w:lang w:val="et-EE"/>
        </w:rPr>
        <w:t>.202</w:t>
      </w:r>
      <w:r w:rsidR="00064981">
        <w:rPr>
          <w:rFonts w:ascii="Arial" w:eastAsia="DINPro" w:hAnsi="Arial" w:cs="Arial"/>
          <w:sz w:val="24"/>
          <w:szCs w:val="24"/>
          <w:lang w:val="et-EE"/>
        </w:rPr>
        <w:t>4</w:t>
      </w:r>
      <w:r w:rsidR="009075FA" w:rsidRPr="005B3803">
        <w:rPr>
          <w:rFonts w:ascii="Arial" w:eastAsia="DINPro" w:hAnsi="Arial" w:cs="Arial"/>
          <w:sz w:val="24"/>
          <w:szCs w:val="24"/>
          <w:lang w:val="et-EE"/>
        </w:rPr>
        <w:t xml:space="preserve"> nr</w:t>
      </w:r>
      <w:r w:rsidR="009075FA">
        <w:rPr>
          <w:rFonts w:ascii="Arial" w:eastAsia="DINPro" w:hAnsi="Arial" w:cs="Arial"/>
          <w:sz w:val="24"/>
          <w:szCs w:val="24"/>
          <w:lang w:val="et-EE"/>
        </w:rPr>
        <w:t xml:space="preserve"> 4/</w:t>
      </w:r>
      <w:r w:rsidR="005B6EF5">
        <w:rPr>
          <w:rFonts w:ascii="Arial" w:eastAsia="DINPro" w:hAnsi="Arial" w:cs="Arial"/>
          <w:sz w:val="24"/>
          <w:szCs w:val="24"/>
          <w:lang w:val="et-EE"/>
        </w:rPr>
        <w:t>44</w:t>
      </w:r>
    </w:p>
    <w:p w14:paraId="20934233" w14:textId="77777777" w:rsidR="009075FA" w:rsidRPr="002F1E7F" w:rsidRDefault="009075FA" w:rsidP="009075FA">
      <w:pPr>
        <w:spacing w:after="0" w:line="240" w:lineRule="auto"/>
        <w:jc w:val="both"/>
        <w:rPr>
          <w:rFonts w:ascii="Arial" w:eastAsia="DINPro" w:hAnsi="Arial" w:cs="Arial"/>
          <w:sz w:val="24"/>
          <w:szCs w:val="24"/>
          <w:lang w:val="et-EE"/>
        </w:rPr>
      </w:pPr>
    </w:p>
    <w:p w14:paraId="4C5F5C6B" w14:textId="77777777" w:rsidR="009075FA" w:rsidRPr="002F1E7F" w:rsidRDefault="009075FA" w:rsidP="009075FA">
      <w:pPr>
        <w:spacing w:after="0" w:line="240" w:lineRule="auto"/>
        <w:jc w:val="both"/>
        <w:rPr>
          <w:rFonts w:ascii="Arial" w:eastAsia="DINPro" w:hAnsi="Arial" w:cs="Arial"/>
          <w:sz w:val="24"/>
          <w:szCs w:val="24"/>
          <w:lang w:val="et-EE"/>
        </w:rPr>
      </w:pPr>
    </w:p>
    <w:p w14:paraId="01695010" w14:textId="77777777" w:rsidR="009075FA" w:rsidRPr="002F1E7F" w:rsidRDefault="009075FA" w:rsidP="009075FA">
      <w:pPr>
        <w:spacing w:after="0" w:line="240" w:lineRule="auto"/>
        <w:jc w:val="both"/>
        <w:rPr>
          <w:rFonts w:ascii="Arial" w:eastAsia="DINPro" w:hAnsi="Arial" w:cs="Arial"/>
          <w:sz w:val="24"/>
          <w:szCs w:val="24"/>
          <w:lang w:val="et-EE"/>
        </w:rPr>
      </w:pPr>
    </w:p>
    <w:p w14:paraId="40312B76" w14:textId="77777777" w:rsidR="009075FA" w:rsidRPr="002F1E7F" w:rsidRDefault="009075FA" w:rsidP="009075FA">
      <w:pPr>
        <w:spacing w:after="0" w:line="240" w:lineRule="auto"/>
        <w:jc w:val="both"/>
        <w:rPr>
          <w:rFonts w:ascii="Arial" w:eastAsia="DINPro" w:hAnsi="Arial" w:cs="Arial"/>
          <w:sz w:val="24"/>
          <w:szCs w:val="24"/>
          <w:lang w:val="et-EE"/>
        </w:rPr>
      </w:pPr>
    </w:p>
    <w:p w14:paraId="395D29CE" w14:textId="77777777" w:rsidR="009075FA" w:rsidRPr="002F1E7F" w:rsidRDefault="009075FA" w:rsidP="009075FA">
      <w:pPr>
        <w:spacing w:after="0" w:line="240" w:lineRule="auto"/>
        <w:jc w:val="both"/>
        <w:rPr>
          <w:rFonts w:ascii="Arial" w:eastAsia="DINPro" w:hAnsi="Arial" w:cs="Arial"/>
          <w:sz w:val="24"/>
          <w:szCs w:val="24"/>
          <w:lang w:val="et-EE"/>
        </w:rPr>
      </w:pPr>
    </w:p>
    <w:p w14:paraId="5987FAA6" w14:textId="77777777" w:rsidR="009075FA" w:rsidRDefault="009075FA" w:rsidP="009075FA">
      <w:pPr>
        <w:spacing w:after="0" w:line="240" w:lineRule="auto"/>
        <w:jc w:val="both"/>
        <w:rPr>
          <w:rFonts w:ascii="Arial" w:eastAsia="DINPro" w:hAnsi="Arial" w:cs="Arial"/>
          <w:b/>
          <w:bCs/>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esitamine</w:t>
      </w:r>
      <w:r>
        <w:rPr>
          <w:rFonts w:ascii="Arial" w:eastAsia="DINPro" w:hAnsi="Arial" w:cs="Arial"/>
          <w:b/>
          <w:sz w:val="24"/>
          <w:szCs w:val="24"/>
          <w:lang w:val="et-EE"/>
        </w:rPr>
        <w:t xml:space="preserve"> t</w:t>
      </w:r>
      <w:r w:rsidRPr="009075FA">
        <w:rPr>
          <w:rFonts w:ascii="Arial" w:eastAsia="DINPro" w:hAnsi="Arial" w:cs="Arial"/>
          <w:b/>
          <w:bCs/>
          <w:sz w:val="24"/>
          <w:szCs w:val="24"/>
          <w:lang w:val="et-EE"/>
        </w:rPr>
        <w:t xml:space="preserve">arbijakaitseseaduse, </w:t>
      </w:r>
    </w:p>
    <w:p w14:paraId="49F9D39C" w14:textId="77777777" w:rsidR="009075FA" w:rsidRDefault="009075FA" w:rsidP="009075FA">
      <w:pPr>
        <w:spacing w:after="0" w:line="240" w:lineRule="auto"/>
        <w:jc w:val="both"/>
        <w:rPr>
          <w:rFonts w:ascii="Arial" w:eastAsia="DINPro" w:hAnsi="Arial" w:cs="Arial"/>
          <w:b/>
          <w:bCs/>
          <w:sz w:val="24"/>
          <w:szCs w:val="24"/>
          <w:lang w:val="et-EE"/>
        </w:rPr>
      </w:pPr>
      <w:r w:rsidRPr="009075FA">
        <w:rPr>
          <w:rFonts w:ascii="Arial" w:eastAsia="DINPro" w:hAnsi="Arial" w:cs="Arial"/>
          <w:b/>
          <w:bCs/>
          <w:sz w:val="24"/>
          <w:szCs w:val="24"/>
          <w:lang w:val="et-EE"/>
        </w:rPr>
        <w:t xml:space="preserve">riigilõivuseaduse ja täitemenetluse seadustiku </w:t>
      </w:r>
    </w:p>
    <w:p w14:paraId="6BAF09D2" w14:textId="332FFB24" w:rsidR="009075FA" w:rsidRPr="002F1E7F" w:rsidRDefault="009075FA" w:rsidP="009075FA">
      <w:pPr>
        <w:spacing w:after="0" w:line="240" w:lineRule="auto"/>
        <w:jc w:val="both"/>
        <w:rPr>
          <w:rFonts w:ascii="Arial" w:eastAsia="DINPro" w:hAnsi="Arial" w:cs="Arial"/>
          <w:b/>
          <w:sz w:val="24"/>
          <w:szCs w:val="24"/>
          <w:lang w:val="et-EE"/>
        </w:rPr>
      </w:pPr>
      <w:r w:rsidRPr="009075FA">
        <w:rPr>
          <w:rFonts w:ascii="Arial" w:eastAsia="DINPro" w:hAnsi="Arial" w:cs="Arial"/>
          <w:b/>
          <w:bCs/>
          <w:sz w:val="24"/>
          <w:szCs w:val="24"/>
          <w:lang w:val="et-EE"/>
        </w:rPr>
        <w:t>muutmise seaduse eelnõu</w:t>
      </w:r>
      <w:r>
        <w:rPr>
          <w:rFonts w:ascii="Arial" w:eastAsia="DINPro" w:hAnsi="Arial" w:cs="Arial"/>
          <w:b/>
          <w:bCs/>
          <w:sz w:val="24"/>
          <w:szCs w:val="24"/>
          <w:lang w:val="et-EE"/>
        </w:rPr>
        <w:t xml:space="preserve"> kohta</w:t>
      </w:r>
    </w:p>
    <w:p w14:paraId="3518AC69" w14:textId="77777777" w:rsidR="009075FA" w:rsidRPr="002F1E7F" w:rsidRDefault="009075FA" w:rsidP="009075FA">
      <w:pPr>
        <w:spacing w:after="0" w:line="240" w:lineRule="auto"/>
        <w:jc w:val="both"/>
        <w:rPr>
          <w:rFonts w:ascii="Arial" w:eastAsia="DINPro" w:hAnsi="Arial" w:cs="Arial"/>
          <w:sz w:val="24"/>
          <w:szCs w:val="24"/>
          <w:lang w:val="et-EE"/>
        </w:rPr>
      </w:pPr>
    </w:p>
    <w:p w14:paraId="0E9AFA03" w14:textId="76EA6DF2" w:rsidR="009075FA" w:rsidRPr="002F1E7F" w:rsidRDefault="009075FA" w:rsidP="009075FA">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Tiit Riisalo</w:t>
      </w:r>
      <w:r w:rsidRPr="002F1E7F">
        <w:rPr>
          <w:rFonts w:ascii="Arial" w:eastAsia="DINPro" w:hAnsi="Arial" w:cs="Arial"/>
          <w:sz w:val="24"/>
          <w:szCs w:val="24"/>
          <w:lang w:val="et-EE"/>
        </w:rPr>
        <w:t>!</w:t>
      </w:r>
    </w:p>
    <w:p w14:paraId="6A75EB9A" w14:textId="77777777" w:rsidR="009075FA" w:rsidRPr="002F1E7F" w:rsidRDefault="009075FA" w:rsidP="009075FA">
      <w:pPr>
        <w:spacing w:after="0" w:line="240" w:lineRule="auto"/>
        <w:jc w:val="both"/>
        <w:rPr>
          <w:rFonts w:ascii="Arial" w:eastAsia="DINPro" w:hAnsi="Arial" w:cs="Arial"/>
          <w:sz w:val="24"/>
          <w:szCs w:val="24"/>
          <w:lang w:val="et-EE"/>
        </w:rPr>
      </w:pPr>
    </w:p>
    <w:p w14:paraId="1F71D0F1" w14:textId="12C365FE" w:rsidR="009075FA" w:rsidRDefault="009075FA" w:rsidP="009075FA">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w:t>
      </w:r>
      <w:r>
        <w:rPr>
          <w:rFonts w:ascii="Arial" w:eastAsia="DINPro" w:hAnsi="Arial" w:cs="Arial"/>
          <w:sz w:val="24"/>
          <w:szCs w:val="24"/>
          <w:lang w:val="et-EE"/>
        </w:rPr>
        <w:t>Majandus- ja Kommunikatsiooniministeeriumit võimaluse eest avaldad</w:t>
      </w:r>
      <w:r w:rsidR="00CB51A1">
        <w:rPr>
          <w:rFonts w:ascii="Arial" w:eastAsia="DINPro" w:hAnsi="Arial" w:cs="Arial"/>
          <w:sz w:val="24"/>
          <w:szCs w:val="24"/>
          <w:lang w:val="et-EE"/>
        </w:rPr>
        <w:t>a</w:t>
      </w:r>
      <w:r>
        <w:rPr>
          <w:rFonts w:ascii="Arial" w:eastAsia="DINPro" w:hAnsi="Arial" w:cs="Arial"/>
          <w:sz w:val="24"/>
          <w:szCs w:val="24"/>
          <w:lang w:val="et-EE"/>
        </w:rPr>
        <w:t xml:space="preserve"> arvamust </w:t>
      </w:r>
      <w:r w:rsidRPr="009075FA">
        <w:rPr>
          <w:rFonts w:ascii="Arial" w:eastAsia="DINPro" w:hAnsi="Arial" w:cs="Arial"/>
          <w:sz w:val="24"/>
          <w:szCs w:val="24"/>
          <w:lang w:val="et-EE"/>
        </w:rPr>
        <w:t>tarbijakaitseseaduse, riigilõivuseaduse ja täitemenetluse seadustiku muutmise seaduse eelnõu</w:t>
      </w:r>
      <w:r>
        <w:rPr>
          <w:rFonts w:ascii="Arial" w:eastAsia="DINPro" w:hAnsi="Arial" w:cs="Arial"/>
          <w:sz w:val="24"/>
          <w:szCs w:val="24"/>
          <w:lang w:val="et-EE"/>
        </w:rPr>
        <w:t xml:space="preserve"> kohta, millega muudetakse tarbijavaidluste komisjoni toimemudelit. </w:t>
      </w:r>
      <w:r w:rsidR="00702218">
        <w:rPr>
          <w:rFonts w:ascii="Arial" w:eastAsia="DINPro" w:hAnsi="Arial" w:cs="Arial"/>
          <w:sz w:val="24"/>
          <w:szCs w:val="24"/>
          <w:lang w:val="et-EE"/>
        </w:rPr>
        <w:t>Kaubanduskoda tänab</w:t>
      </w:r>
      <w:r w:rsidR="00BB2E1B">
        <w:rPr>
          <w:rFonts w:ascii="Arial" w:eastAsia="DINPro" w:hAnsi="Arial" w:cs="Arial"/>
          <w:sz w:val="24"/>
          <w:szCs w:val="24"/>
          <w:lang w:val="et-EE"/>
        </w:rPr>
        <w:t>, et</w:t>
      </w:r>
      <w:r w:rsidR="00702218">
        <w:rPr>
          <w:rFonts w:ascii="Arial" w:eastAsia="DINPro" w:hAnsi="Arial" w:cs="Arial"/>
          <w:sz w:val="24"/>
          <w:szCs w:val="24"/>
          <w:lang w:val="et-EE"/>
        </w:rPr>
        <w:t xml:space="preserve"> Majandus- ja Kommunikatsiooniministeerium</w:t>
      </w:r>
      <w:r w:rsidR="00BA075D">
        <w:rPr>
          <w:rFonts w:ascii="Arial" w:eastAsia="DINPro" w:hAnsi="Arial" w:cs="Arial"/>
          <w:sz w:val="24"/>
          <w:szCs w:val="24"/>
          <w:lang w:val="et-EE"/>
        </w:rPr>
        <w:t xml:space="preserve"> on </w:t>
      </w:r>
      <w:r w:rsidR="0056203B">
        <w:rPr>
          <w:rFonts w:ascii="Arial" w:eastAsia="DINPro" w:hAnsi="Arial" w:cs="Arial"/>
          <w:sz w:val="24"/>
          <w:szCs w:val="24"/>
          <w:lang w:val="et-EE"/>
        </w:rPr>
        <w:t xml:space="preserve">eelnõu koostamisel </w:t>
      </w:r>
      <w:r w:rsidR="00BA075D">
        <w:rPr>
          <w:rFonts w:ascii="Arial" w:eastAsia="DINPro" w:hAnsi="Arial" w:cs="Arial"/>
          <w:sz w:val="24"/>
          <w:szCs w:val="24"/>
          <w:lang w:val="et-EE"/>
        </w:rPr>
        <w:t xml:space="preserve">arvesse võtnud </w:t>
      </w:r>
      <w:r w:rsidR="008C3DB2">
        <w:rPr>
          <w:rFonts w:ascii="Arial" w:eastAsia="DINPro" w:hAnsi="Arial" w:cs="Arial"/>
          <w:sz w:val="24"/>
          <w:szCs w:val="24"/>
          <w:lang w:val="et-EE"/>
        </w:rPr>
        <w:t xml:space="preserve">mitmeid </w:t>
      </w:r>
      <w:r w:rsidR="00BA075D">
        <w:rPr>
          <w:rFonts w:ascii="Arial" w:eastAsia="DINPro" w:hAnsi="Arial" w:cs="Arial"/>
          <w:sz w:val="24"/>
          <w:szCs w:val="24"/>
          <w:lang w:val="et-EE"/>
        </w:rPr>
        <w:t>Kaubanduskoja</w:t>
      </w:r>
      <w:r w:rsidR="0056203B">
        <w:rPr>
          <w:rFonts w:ascii="Arial" w:eastAsia="DINPro" w:hAnsi="Arial" w:cs="Arial"/>
          <w:sz w:val="24"/>
          <w:szCs w:val="24"/>
          <w:lang w:val="et-EE"/>
        </w:rPr>
        <w:t xml:space="preserve"> varasemalt esitatud kommentaare</w:t>
      </w:r>
      <w:r w:rsidR="008C3DB2">
        <w:rPr>
          <w:rFonts w:ascii="Arial" w:eastAsia="DINPro" w:hAnsi="Arial" w:cs="Arial"/>
          <w:sz w:val="24"/>
          <w:szCs w:val="24"/>
          <w:lang w:val="et-EE"/>
        </w:rPr>
        <w:t>. Näiteks peame positiivseks, et eelnõust on välja jäetud</w:t>
      </w:r>
      <w:r w:rsidR="00B05ABD">
        <w:rPr>
          <w:rFonts w:ascii="Arial" w:eastAsia="DINPro" w:hAnsi="Arial" w:cs="Arial"/>
          <w:sz w:val="24"/>
          <w:szCs w:val="24"/>
          <w:lang w:val="et-EE"/>
        </w:rPr>
        <w:t xml:space="preserve"> sätted seoses</w:t>
      </w:r>
      <w:r w:rsidR="00E94F15">
        <w:rPr>
          <w:rFonts w:ascii="Arial" w:eastAsia="DINPro" w:hAnsi="Arial" w:cs="Arial"/>
          <w:sz w:val="24"/>
          <w:szCs w:val="24"/>
          <w:lang w:val="et-EE"/>
        </w:rPr>
        <w:t xml:space="preserve"> </w:t>
      </w:r>
      <w:r w:rsidR="00670075">
        <w:rPr>
          <w:rFonts w:ascii="Arial" w:eastAsia="DINPro" w:hAnsi="Arial" w:cs="Arial"/>
          <w:sz w:val="24"/>
          <w:szCs w:val="24"/>
          <w:lang w:val="et-EE"/>
        </w:rPr>
        <w:t xml:space="preserve">kaupleja </w:t>
      </w:r>
      <w:r w:rsidR="00B722B3">
        <w:rPr>
          <w:rFonts w:ascii="Arial" w:eastAsia="DINPro" w:hAnsi="Arial" w:cs="Arial"/>
          <w:sz w:val="24"/>
          <w:szCs w:val="24"/>
          <w:lang w:val="et-EE"/>
        </w:rPr>
        <w:t>m</w:t>
      </w:r>
      <w:r w:rsidR="00B722B3" w:rsidRPr="00B722B3">
        <w:rPr>
          <w:rFonts w:ascii="Arial" w:eastAsia="DINPro" w:hAnsi="Arial" w:cs="Arial"/>
          <w:sz w:val="24"/>
          <w:szCs w:val="24"/>
          <w:lang w:val="et-EE"/>
        </w:rPr>
        <w:t>enetlustasu</w:t>
      </w:r>
      <w:r w:rsidR="00B722B3">
        <w:rPr>
          <w:rFonts w:ascii="Arial" w:eastAsia="DINPro" w:hAnsi="Arial" w:cs="Arial"/>
          <w:sz w:val="24"/>
          <w:szCs w:val="24"/>
          <w:lang w:val="et-EE"/>
        </w:rPr>
        <w:t>ga</w:t>
      </w:r>
      <w:r w:rsidR="00B722B3" w:rsidRPr="00B722B3">
        <w:rPr>
          <w:rFonts w:ascii="Arial" w:eastAsia="DINPro" w:hAnsi="Arial" w:cs="Arial"/>
          <w:sz w:val="24"/>
          <w:szCs w:val="24"/>
          <w:lang w:val="et-EE"/>
        </w:rPr>
        <w:t xml:space="preserve"> tarbijavaidlusasja lahendamise eest</w:t>
      </w:r>
      <w:r w:rsidR="00B05ABD">
        <w:rPr>
          <w:rFonts w:ascii="Arial" w:eastAsia="DINPro" w:hAnsi="Arial" w:cs="Arial"/>
          <w:sz w:val="24"/>
          <w:szCs w:val="24"/>
          <w:lang w:val="et-EE"/>
        </w:rPr>
        <w:t xml:space="preserve">. Samuti </w:t>
      </w:r>
      <w:r w:rsidR="001B129B">
        <w:rPr>
          <w:rFonts w:ascii="Arial" w:eastAsia="DINPro" w:hAnsi="Arial" w:cs="Arial"/>
          <w:sz w:val="24"/>
          <w:szCs w:val="24"/>
          <w:lang w:val="et-EE"/>
        </w:rPr>
        <w:t>on posit</w:t>
      </w:r>
      <w:r w:rsidR="003F1937">
        <w:rPr>
          <w:rFonts w:ascii="Arial" w:eastAsia="DINPro" w:hAnsi="Arial" w:cs="Arial"/>
          <w:sz w:val="24"/>
          <w:szCs w:val="24"/>
          <w:lang w:val="et-EE"/>
        </w:rPr>
        <w:t>iivne</w:t>
      </w:r>
      <w:r w:rsidR="001B129B">
        <w:rPr>
          <w:rFonts w:ascii="Arial" w:eastAsia="DINPro" w:hAnsi="Arial" w:cs="Arial"/>
          <w:sz w:val="24"/>
          <w:szCs w:val="24"/>
          <w:lang w:val="et-EE"/>
        </w:rPr>
        <w:t xml:space="preserve">, et </w:t>
      </w:r>
      <w:r w:rsidR="001B129B" w:rsidRPr="001B129B">
        <w:rPr>
          <w:rFonts w:ascii="Arial" w:eastAsia="DINPro" w:hAnsi="Arial" w:cs="Arial"/>
          <w:sz w:val="24"/>
          <w:szCs w:val="24"/>
          <w:lang w:val="et-EE"/>
        </w:rPr>
        <w:t>avaldust ei võeta menetlusse, kui vaidlusaluse kauba või teenuse väärtus või tarbija nõude suurus on alla 50 euro</w:t>
      </w:r>
      <w:r w:rsidR="003F1937">
        <w:rPr>
          <w:rFonts w:ascii="Arial" w:eastAsia="DINPro" w:hAnsi="Arial" w:cs="Arial"/>
          <w:sz w:val="24"/>
          <w:szCs w:val="24"/>
          <w:lang w:val="et-EE"/>
        </w:rPr>
        <w:t xml:space="preserve">, </w:t>
      </w:r>
      <w:r w:rsidR="003F1937" w:rsidRPr="003F1937">
        <w:rPr>
          <w:rFonts w:ascii="Arial" w:eastAsia="DINPro" w:hAnsi="Arial" w:cs="Arial"/>
          <w:sz w:val="24"/>
          <w:szCs w:val="24"/>
          <w:lang w:val="et-EE"/>
        </w:rPr>
        <w:t>kaasistujad nimetatakse neljaks aastaks</w:t>
      </w:r>
      <w:r w:rsidR="0006699A">
        <w:rPr>
          <w:rFonts w:ascii="Arial" w:eastAsia="DINPro" w:hAnsi="Arial" w:cs="Arial"/>
          <w:sz w:val="24"/>
          <w:szCs w:val="24"/>
          <w:lang w:val="et-EE"/>
        </w:rPr>
        <w:t xml:space="preserve"> ning et </w:t>
      </w:r>
      <w:r w:rsidR="00E94F15">
        <w:rPr>
          <w:rFonts w:ascii="Arial" w:eastAsia="DINPro" w:hAnsi="Arial" w:cs="Arial"/>
          <w:sz w:val="24"/>
          <w:szCs w:val="24"/>
          <w:lang w:val="et-EE"/>
        </w:rPr>
        <w:t xml:space="preserve">komisjoni esimehe </w:t>
      </w:r>
      <w:r w:rsidR="0006699A" w:rsidRPr="0006699A">
        <w:rPr>
          <w:rFonts w:ascii="Arial" w:eastAsia="DINPro" w:hAnsi="Arial" w:cs="Arial"/>
          <w:sz w:val="24"/>
          <w:szCs w:val="24"/>
          <w:lang w:val="et-EE"/>
        </w:rPr>
        <w:t>palk on 80 kuni 100 protsenti riikliku lepitaja ametipalgast.</w:t>
      </w:r>
      <w:r w:rsidR="00E94F15">
        <w:rPr>
          <w:rFonts w:ascii="Arial" w:eastAsia="DINPro" w:hAnsi="Arial" w:cs="Arial"/>
          <w:sz w:val="24"/>
          <w:szCs w:val="24"/>
          <w:lang w:val="et-EE"/>
        </w:rPr>
        <w:t xml:space="preserve"> </w:t>
      </w:r>
      <w:r>
        <w:rPr>
          <w:rFonts w:ascii="Arial" w:eastAsia="DINPro" w:hAnsi="Arial" w:cs="Arial"/>
          <w:sz w:val="24"/>
          <w:szCs w:val="24"/>
          <w:lang w:val="et-EE"/>
        </w:rPr>
        <w:t xml:space="preserve">Oleme eelnõuga tutvunud ning esitame järgnevalt Kaubanduskoja seisukohad. </w:t>
      </w:r>
    </w:p>
    <w:p w14:paraId="0D4688A1" w14:textId="43794C52" w:rsidR="009075FA" w:rsidRPr="00A22D81" w:rsidRDefault="00A22D81" w:rsidP="00A22D81">
      <w:pPr>
        <w:pStyle w:val="ListParagraph"/>
        <w:numPr>
          <w:ilvl w:val="0"/>
          <w:numId w:val="3"/>
        </w:numPr>
        <w:spacing w:before="120" w:after="0" w:line="240" w:lineRule="auto"/>
        <w:jc w:val="both"/>
        <w:rPr>
          <w:rFonts w:ascii="Arial" w:eastAsia="DINPro" w:hAnsi="Arial" w:cs="Arial"/>
          <w:b/>
          <w:bCs/>
          <w:sz w:val="24"/>
          <w:szCs w:val="24"/>
          <w:lang w:val="et-EE"/>
        </w:rPr>
      </w:pPr>
      <w:r w:rsidRPr="00A22D81">
        <w:rPr>
          <w:rFonts w:ascii="Arial" w:eastAsia="DINPro" w:hAnsi="Arial" w:cs="Arial"/>
          <w:b/>
          <w:bCs/>
          <w:sz w:val="24"/>
          <w:szCs w:val="24"/>
          <w:lang w:val="et-EE"/>
        </w:rPr>
        <w:t>Tarbijavaidluste komisjoni otsuste siduvaks muutmine</w:t>
      </w:r>
    </w:p>
    <w:p w14:paraId="62D5D807" w14:textId="10B83E1E" w:rsidR="00297B78" w:rsidRPr="002C1C75" w:rsidRDefault="00A22D81" w:rsidP="002C1C75">
      <w:pPr>
        <w:spacing w:before="120" w:after="0" w:line="240" w:lineRule="auto"/>
        <w:jc w:val="both"/>
        <w:rPr>
          <w:rFonts w:ascii="Arial" w:eastAsia="DINPro" w:hAnsi="Arial" w:cs="Arial"/>
          <w:sz w:val="24"/>
          <w:szCs w:val="24"/>
          <w:lang w:val="et-EE"/>
        </w:rPr>
      </w:pPr>
      <w:r w:rsidRPr="00A22D81">
        <w:rPr>
          <w:rFonts w:ascii="Arial" w:eastAsia="DINPro" w:hAnsi="Arial" w:cs="Arial"/>
          <w:sz w:val="24"/>
          <w:szCs w:val="24"/>
          <w:lang w:val="et-EE"/>
        </w:rPr>
        <w:t>Kehtiva seaduse kohaselt on tarbijavaidluste komisjoni otsus kauplejale täitmiseks soovituslik, kuid eelnõu</w:t>
      </w:r>
      <w:r>
        <w:rPr>
          <w:rFonts w:ascii="Arial" w:eastAsia="DINPro" w:hAnsi="Arial" w:cs="Arial"/>
          <w:sz w:val="24"/>
          <w:szCs w:val="24"/>
          <w:lang w:val="et-EE"/>
        </w:rPr>
        <w:t xml:space="preserve"> </w:t>
      </w:r>
      <w:r w:rsidRPr="00A22D81">
        <w:rPr>
          <w:rFonts w:ascii="Arial" w:eastAsia="DINPro" w:hAnsi="Arial" w:cs="Arial"/>
          <w:sz w:val="24"/>
          <w:szCs w:val="24"/>
          <w:lang w:val="et-EE"/>
        </w:rPr>
        <w:t xml:space="preserve">tarbijakaitseseaduse § 58 </w:t>
      </w:r>
      <w:r>
        <w:rPr>
          <w:rFonts w:ascii="Arial" w:eastAsia="DINPro" w:hAnsi="Arial" w:cs="Arial"/>
          <w:sz w:val="24"/>
          <w:szCs w:val="24"/>
          <w:lang w:val="et-EE"/>
        </w:rPr>
        <w:t xml:space="preserve">lõike 3 </w:t>
      </w:r>
      <w:r w:rsidRPr="00A22D81">
        <w:rPr>
          <w:rFonts w:ascii="Arial" w:eastAsia="DINPro" w:hAnsi="Arial" w:cs="Arial"/>
          <w:sz w:val="24"/>
          <w:szCs w:val="24"/>
          <w:lang w:val="et-EE"/>
        </w:rPr>
        <w:t>ja</w:t>
      </w:r>
      <w:r>
        <w:rPr>
          <w:rFonts w:ascii="Arial" w:eastAsia="DINPro" w:hAnsi="Arial" w:cs="Arial"/>
          <w:sz w:val="24"/>
          <w:szCs w:val="24"/>
          <w:lang w:val="et-EE"/>
        </w:rPr>
        <w:t xml:space="preserve"> §</w:t>
      </w:r>
      <w:r w:rsidRPr="00A22D81">
        <w:rPr>
          <w:rFonts w:ascii="Arial" w:eastAsia="DINPro" w:hAnsi="Arial" w:cs="Arial"/>
          <w:sz w:val="24"/>
          <w:szCs w:val="24"/>
          <w:lang w:val="et-EE"/>
        </w:rPr>
        <w:t xml:space="preserve"> 60</w:t>
      </w:r>
      <w:r>
        <w:rPr>
          <w:rFonts w:ascii="Arial" w:eastAsia="DINPro" w:hAnsi="Arial" w:cs="Arial"/>
          <w:sz w:val="24"/>
          <w:szCs w:val="24"/>
          <w:lang w:val="et-EE"/>
        </w:rPr>
        <w:t xml:space="preserve"> kohaselt on edaspidi k</w:t>
      </w:r>
      <w:r w:rsidRPr="00A22D81">
        <w:rPr>
          <w:rFonts w:ascii="Arial" w:eastAsia="DINPro" w:hAnsi="Arial" w:cs="Arial"/>
          <w:sz w:val="24"/>
          <w:szCs w:val="24"/>
          <w:lang w:val="et-EE"/>
        </w:rPr>
        <w:t>omisjoni jõustunud otsus täitmiseks kohustuslik.</w:t>
      </w:r>
      <w:r>
        <w:rPr>
          <w:rFonts w:ascii="Arial" w:eastAsia="DINPro" w:hAnsi="Arial" w:cs="Arial"/>
          <w:sz w:val="24"/>
          <w:szCs w:val="24"/>
          <w:lang w:val="et-EE"/>
        </w:rPr>
        <w:t xml:space="preserve"> Kaubanduskoda </w:t>
      </w:r>
      <w:r w:rsidR="00FF3E18">
        <w:rPr>
          <w:rFonts w:ascii="Arial" w:eastAsia="DINPro" w:hAnsi="Arial" w:cs="Arial"/>
          <w:sz w:val="24"/>
          <w:szCs w:val="24"/>
          <w:lang w:val="et-EE"/>
        </w:rPr>
        <w:t>on vastu</w:t>
      </w:r>
      <w:r>
        <w:rPr>
          <w:rFonts w:ascii="Arial" w:eastAsia="DINPro" w:hAnsi="Arial" w:cs="Arial"/>
          <w:sz w:val="24"/>
          <w:szCs w:val="24"/>
          <w:lang w:val="et-EE"/>
        </w:rPr>
        <w:t xml:space="preserve"> komisjoni otsuse siduvaks muutmist järgnevatel põhjustel:</w:t>
      </w:r>
    </w:p>
    <w:p w14:paraId="5F51DD2B" w14:textId="2B37795E" w:rsidR="00A22D81" w:rsidRPr="00480479" w:rsidRDefault="00A22D81" w:rsidP="00A22D81">
      <w:pPr>
        <w:pStyle w:val="ListParagraph"/>
        <w:numPr>
          <w:ilvl w:val="0"/>
          <w:numId w:val="5"/>
        </w:numPr>
        <w:spacing w:before="120" w:after="0" w:line="240" w:lineRule="auto"/>
        <w:ind w:hanging="357"/>
        <w:jc w:val="both"/>
        <w:rPr>
          <w:rFonts w:ascii="Arial" w:eastAsia="DINPro" w:hAnsi="Arial" w:cs="Arial"/>
          <w:sz w:val="24"/>
          <w:szCs w:val="24"/>
          <w:lang w:val="et-EE"/>
        </w:rPr>
      </w:pPr>
      <w:r w:rsidRPr="00480479">
        <w:rPr>
          <w:rFonts w:ascii="Arial" w:eastAsia="DINPro" w:hAnsi="Arial" w:cs="Arial"/>
          <w:b/>
          <w:bCs/>
          <w:sz w:val="24"/>
          <w:szCs w:val="24"/>
          <w:lang w:val="et-EE"/>
        </w:rPr>
        <w:t>Otsuste siduvaks muutmine ei too kaasa kõikide otsuste täitmist kauplejate poolt.</w:t>
      </w:r>
      <w:r w:rsidRPr="00480479">
        <w:rPr>
          <w:rFonts w:ascii="Arial" w:eastAsia="DINPro" w:hAnsi="Arial" w:cs="Arial"/>
          <w:sz w:val="24"/>
          <w:szCs w:val="24"/>
          <w:lang w:val="et-EE"/>
        </w:rPr>
        <w:t xml:space="preserve"> </w:t>
      </w:r>
      <w:r w:rsidRPr="00480479">
        <w:rPr>
          <w:rFonts w:ascii="Arial" w:eastAsia="DINPro" w:hAnsi="Arial" w:cs="Arial"/>
          <w:sz w:val="24"/>
          <w:szCs w:val="24"/>
          <w:lang w:val="et-EE"/>
        </w:rPr>
        <w:br/>
      </w:r>
      <w:r w:rsidR="00622F53">
        <w:rPr>
          <w:rFonts w:ascii="Arial" w:eastAsia="DINPro" w:hAnsi="Arial" w:cs="Arial"/>
          <w:sz w:val="24"/>
          <w:szCs w:val="24"/>
          <w:lang w:val="et-EE"/>
        </w:rPr>
        <w:t>Kaubanduskoja hinnangul ei vähene e</w:t>
      </w:r>
      <w:r w:rsidRPr="00480479">
        <w:rPr>
          <w:rFonts w:ascii="Arial" w:eastAsia="DINPro" w:hAnsi="Arial" w:cs="Arial"/>
          <w:sz w:val="24"/>
          <w:szCs w:val="24"/>
          <w:lang w:val="et-EE"/>
        </w:rPr>
        <w:t xml:space="preserve">elnõu jõustudes </w:t>
      </w:r>
      <w:r w:rsidR="00622F53">
        <w:rPr>
          <w:rFonts w:ascii="Arial" w:eastAsia="DINPro" w:hAnsi="Arial" w:cs="Arial"/>
          <w:sz w:val="24"/>
          <w:szCs w:val="24"/>
          <w:lang w:val="et-EE"/>
        </w:rPr>
        <w:t xml:space="preserve">täitmata jäänud otsuste </w:t>
      </w:r>
      <w:r w:rsidRPr="00480479">
        <w:rPr>
          <w:rFonts w:ascii="Arial" w:eastAsia="DINPro" w:hAnsi="Arial" w:cs="Arial"/>
          <w:sz w:val="24"/>
          <w:szCs w:val="24"/>
          <w:lang w:val="et-EE"/>
        </w:rPr>
        <w:t>number</w:t>
      </w:r>
      <w:r w:rsidR="00622F53">
        <w:rPr>
          <w:rFonts w:ascii="Arial" w:eastAsia="DINPro" w:hAnsi="Arial" w:cs="Arial"/>
          <w:sz w:val="24"/>
          <w:szCs w:val="24"/>
          <w:lang w:val="et-EE"/>
        </w:rPr>
        <w:t xml:space="preserve"> </w:t>
      </w:r>
      <w:r w:rsidRPr="00480479">
        <w:rPr>
          <w:rFonts w:ascii="Arial" w:eastAsia="DINPro" w:hAnsi="Arial" w:cs="Arial"/>
          <w:sz w:val="24"/>
          <w:szCs w:val="24"/>
          <w:lang w:val="et-EE"/>
        </w:rPr>
        <w:t xml:space="preserve">nullini. Üheks põhjuseks on asjaolu, et otsused jätavad täitmata kauplejad, kes on majanduslikes raskustes. Kahjuks ei ole </w:t>
      </w:r>
      <w:r w:rsidR="002E4347">
        <w:rPr>
          <w:rFonts w:ascii="Arial" w:eastAsia="DINPro" w:hAnsi="Arial" w:cs="Arial"/>
          <w:sz w:val="24"/>
          <w:szCs w:val="24"/>
          <w:lang w:val="et-EE"/>
        </w:rPr>
        <w:t>jätkuvalt</w:t>
      </w:r>
      <w:r w:rsidRPr="00480479">
        <w:rPr>
          <w:rFonts w:ascii="Arial" w:eastAsia="DINPro" w:hAnsi="Arial" w:cs="Arial"/>
          <w:sz w:val="24"/>
          <w:szCs w:val="24"/>
          <w:lang w:val="et-EE"/>
        </w:rPr>
        <w:t xml:space="preserve"> seletuskirjas välja toodud statistikat, kui palju on mustas nimekirjas olevate kauplejate hulgas kauplejaid, kel on majanduslikud raskused. </w:t>
      </w:r>
      <w:r w:rsidR="00610E35">
        <w:rPr>
          <w:rFonts w:ascii="Arial" w:eastAsia="DINPro" w:hAnsi="Arial" w:cs="Arial"/>
          <w:sz w:val="24"/>
          <w:szCs w:val="24"/>
          <w:lang w:val="et-EE"/>
        </w:rPr>
        <w:t xml:space="preserve">Kaubanduskoda palus 29.12.2021 esitatud arvamuses juba seletuskirjas see info </w:t>
      </w:r>
      <w:r w:rsidRPr="00480479">
        <w:rPr>
          <w:rFonts w:ascii="Arial" w:eastAsia="DINPro" w:hAnsi="Arial" w:cs="Arial"/>
          <w:sz w:val="24"/>
          <w:szCs w:val="24"/>
          <w:lang w:val="et-EE"/>
        </w:rPr>
        <w:t>eelnevate aastate lõikes välja tuua</w:t>
      </w:r>
      <w:r w:rsidR="00DF24C2">
        <w:rPr>
          <w:rFonts w:ascii="Arial" w:eastAsia="DINPro" w:hAnsi="Arial" w:cs="Arial"/>
          <w:sz w:val="24"/>
          <w:szCs w:val="24"/>
          <w:lang w:val="et-EE"/>
        </w:rPr>
        <w:t xml:space="preserve"> ning kuna seda infot ei ole jätkuvalt seletuskirjas, siis palume see nüüd lisada. </w:t>
      </w:r>
      <w:r w:rsidR="003501D3">
        <w:rPr>
          <w:rFonts w:ascii="Arial" w:eastAsia="DINPro" w:hAnsi="Arial" w:cs="Arial"/>
          <w:sz w:val="24"/>
          <w:szCs w:val="24"/>
          <w:lang w:val="et-EE"/>
        </w:rPr>
        <w:t xml:space="preserve">Meie hinnangul on selline statistika äärmiselt oluline, sest annab parema pildi probleemi olemusest. Kui </w:t>
      </w:r>
      <w:r w:rsidR="00F146AB">
        <w:rPr>
          <w:rFonts w:ascii="Arial" w:eastAsia="DINPro" w:hAnsi="Arial" w:cs="Arial"/>
          <w:sz w:val="24"/>
          <w:szCs w:val="24"/>
          <w:lang w:val="et-EE"/>
        </w:rPr>
        <w:t xml:space="preserve">statistika näitab, et suurem osa komisjoni otsustest jääb täitmata, sest kauplejal on majanduslikud raskused, siis ei aita otsuste siduvaks muutmine probleemi lahendada, vaid muudab olukorra keerulisemate </w:t>
      </w:r>
      <w:r w:rsidR="00F146AB">
        <w:rPr>
          <w:rFonts w:ascii="Arial" w:eastAsia="DINPro" w:hAnsi="Arial" w:cs="Arial"/>
          <w:sz w:val="24"/>
          <w:szCs w:val="24"/>
          <w:lang w:val="et-EE"/>
        </w:rPr>
        <w:lastRenderedPageBreak/>
        <w:t>menetlusreeglite tõttu nii tarbijale kui ka kauplejale halvemaks.</w:t>
      </w:r>
      <w:r w:rsidR="00487541">
        <w:rPr>
          <w:rFonts w:ascii="Arial" w:eastAsia="DINPro" w:hAnsi="Arial" w:cs="Arial"/>
          <w:sz w:val="24"/>
          <w:szCs w:val="24"/>
          <w:lang w:val="et-EE"/>
        </w:rPr>
        <w:t xml:space="preserve"> </w:t>
      </w:r>
      <w:r w:rsidR="00242642">
        <w:rPr>
          <w:rFonts w:ascii="Arial" w:eastAsia="DINPro" w:hAnsi="Arial" w:cs="Arial"/>
          <w:sz w:val="24"/>
          <w:szCs w:val="24"/>
          <w:lang w:val="et-EE"/>
        </w:rPr>
        <w:t>Meie tunnetus</w:t>
      </w:r>
      <w:r w:rsidR="001B736F">
        <w:rPr>
          <w:rFonts w:ascii="Arial" w:eastAsia="DINPro" w:hAnsi="Arial" w:cs="Arial"/>
          <w:sz w:val="24"/>
          <w:szCs w:val="24"/>
          <w:lang w:val="et-EE"/>
        </w:rPr>
        <w:t xml:space="preserve"> on, et ausad kauplejad täidavad ka mittesiduvaid otsuseid, kuid otsuste täitmata jätmine on levinud just nende ettevõtete</w:t>
      </w:r>
      <w:r w:rsidR="004F200B">
        <w:rPr>
          <w:rFonts w:ascii="Arial" w:eastAsia="DINPro" w:hAnsi="Arial" w:cs="Arial"/>
          <w:sz w:val="24"/>
          <w:szCs w:val="24"/>
          <w:lang w:val="et-EE"/>
        </w:rPr>
        <w:t xml:space="preserve"> seas, kel on majandusraskused.</w:t>
      </w:r>
    </w:p>
    <w:p w14:paraId="629E92F6" w14:textId="6DDA90A8" w:rsidR="00A22D81" w:rsidRPr="00480479" w:rsidRDefault="00A22D81" w:rsidP="00A22D81">
      <w:pPr>
        <w:pStyle w:val="ListParagraph"/>
        <w:spacing w:before="120" w:after="0" w:line="240" w:lineRule="auto"/>
        <w:contextualSpacing w:val="0"/>
        <w:jc w:val="both"/>
        <w:rPr>
          <w:rFonts w:ascii="Arial" w:eastAsia="DINPro" w:hAnsi="Arial" w:cs="Arial"/>
          <w:sz w:val="24"/>
          <w:szCs w:val="24"/>
          <w:lang w:val="et-EE"/>
        </w:rPr>
      </w:pPr>
      <w:r w:rsidRPr="00480479">
        <w:rPr>
          <w:rFonts w:ascii="Arial" w:eastAsia="DINPro" w:hAnsi="Arial" w:cs="Arial"/>
          <w:sz w:val="24"/>
          <w:szCs w:val="24"/>
          <w:lang w:val="et-EE"/>
        </w:rPr>
        <w:t xml:space="preserve">Lisaks juhime tähelepanu sellele, et kui edaspidi on otsus õiguslikult siduv, siis peab tarbija astuma täiendavaid samme ja tegema teatud kulutusi, et algatada otsuse sundtäitmine, kui kaupleja ise ei täida otsust. Kui tarbija ei astu pärast komisjoni otsust täiendavaid samme, siis ei too </w:t>
      </w:r>
      <w:r w:rsidR="00297B78">
        <w:rPr>
          <w:rFonts w:ascii="Arial" w:eastAsia="DINPro" w:hAnsi="Arial" w:cs="Arial"/>
          <w:sz w:val="24"/>
          <w:szCs w:val="24"/>
          <w:lang w:val="et-EE"/>
        </w:rPr>
        <w:t>e</w:t>
      </w:r>
      <w:r w:rsidRPr="00480479">
        <w:rPr>
          <w:rFonts w:ascii="Arial" w:eastAsia="DINPro" w:hAnsi="Arial" w:cs="Arial"/>
          <w:sz w:val="24"/>
          <w:szCs w:val="24"/>
          <w:lang w:val="et-EE"/>
        </w:rPr>
        <w:t>elnõu kaasa täitmata jäänud otsuste arvu vähenemist.</w:t>
      </w:r>
    </w:p>
    <w:p w14:paraId="2743617D" w14:textId="2375BED4" w:rsidR="00F73E39" w:rsidRDefault="00411B4B" w:rsidP="00F73E39">
      <w:pPr>
        <w:pStyle w:val="ListParagraph"/>
        <w:numPr>
          <w:ilvl w:val="0"/>
          <w:numId w:val="5"/>
        </w:numPr>
        <w:spacing w:before="120" w:after="0" w:line="240" w:lineRule="auto"/>
        <w:contextualSpacing w:val="0"/>
        <w:jc w:val="both"/>
        <w:rPr>
          <w:rFonts w:ascii="Arial" w:eastAsia="DINPro" w:hAnsi="Arial" w:cs="Arial"/>
          <w:b/>
          <w:bCs/>
          <w:sz w:val="24"/>
          <w:szCs w:val="24"/>
          <w:lang w:val="et-EE"/>
        </w:rPr>
      </w:pPr>
      <w:r>
        <w:rPr>
          <w:rFonts w:ascii="Arial" w:eastAsia="DINPro" w:hAnsi="Arial" w:cs="Arial"/>
          <w:b/>
          <w:bCs/>
          <w:sz w:val="24"/>
          <w:szCs w:val="24"/>
          <w:lang w:val="et-EE"/>
        </w:rPr>
        <w:t>Võimalik v</w:t>
      </w:r>
      <w:r w:rsidR="00293FC6">
        <w:rPr>
          <w:rFonts w:ascii="Arial" w:eastAsia="DINPro" w:hAnsi="Arial" w:cs="Arial"/>
          <w:b/>
          <w:bCs/>
          <w:sz w:val="24"/>
          <w:szCs w:val="24"/>
          <w:lang w:val="et-EE"/>
        </w:rPr>
        <w:t>astuolu põhiseadusega</w:t>
      </w:r>
    </w:p>
    <w:p w14:paraId="47AF9920" w14:textId="36F7C3DB" w:rsidR="00293FC6" w:rsidRDefault="003A4A2C" w:rsidP="00293FC6">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Justiitsministeerium</w:t>
      </w:r>
      <w:r w:rsidR="00F113DB">
        <w:rPr>
          <w:rFonts w:ascii="Arial" w:eastAsia="DINPro" w:hAnsi="Arial" w:cs="Arial"/>
          <w:sz w:val="24"/>
          <w:szCs w:val="24"/>
          <w:lang w:val="et-EE"/>
        </w:rPr>
        <w:t xml:space="preserve"> </w:t>
      </w:r>
      <w:r w:rsidR="00465006">
        <w:rPr>
          <w:rFonts w:ascii="Arial" w:eastAsia="DINPro" w:hAnsi="Arial" w:cs="Arial"/>
          <w:sz w:val="24"/>
          <w:szCs w:val="24"/>
          <w:lang w:val="et-EE"/>
        </w:rPr>
        <w:t xml:space="preserve">on </w:t>
      </w:r>
      <w:r w:rsidR="00F113DB">
        <w:rPr>
          <w:rFonts w:ascii="Arial" w:eastAsia="DINPro" w:hAnsi="Arial" w:cs="Arial"/>
          <w:sz w:val="24"/>
          <w:szCs w:val="24"/>
          <w:lang w:val="et-EE"/>
        </w:rPr>
        <w:t xml:space="preserve">Euroopa Komisjoni tarbijavaidluste kohtuvälise raamistiku läbivaatamise ettepaneku suhtes toonud </w:t>
      </w:r>
      <w:r w:rsidR="00B559ED">
        <w:rPr>
          <w:rFonts w:ascii="Arial" w:eastAsia="DINPro" w:hAnsi="Arial" w:cs="Arial"/>
          <w:sz w:val="24"/>
          <w:szCs w:val="24"/>
          <w:lang w:val="et-EE"/>
        </w:rPr>
        <w:t xml:space="preserve">01.02.2024 </w:t>
      </w:r>
      <w:r w:rsidR="00B266FD">
        <w:rPr>
          <w:rFonts w:ascii="Arial" w:eastAsia="DINPro" w:hAnsi="Arial" w:cs="Arial"/>
          <w:sz w:val="24"/>
          <w:szCs w:val="24"/>
          <w:lang w:val="et-EE"/>
        </w:rPr>
        <w:t xml:space="preserve">Vabariigi Valitsuse poolt kinnitatud </w:t>
      </w:r>
      <w:r w:rsidR="00F113DB">
        <w:rPr>
          <w:rFonts w:ascii="Arial" w:eastAsia="DINPro" w:hAnsi="Arial" w:cs="Arial"/>
          <w:sz w:val="24"/>
          <w:szCs w:val="24"/>
          <w:lang w:val="et-EE"/>
        </w:rPr>
        <w:t>Eesti seisukohtade seletuskirjas (</w:t>
      </w:r>
      <w:r w:rsidR="00E23460">
        <w:rPr>
          <w:rFonts w:ascii="Arial" w:eastAsia="DINPro" w:hAnsi="Arial" w:cs="Arial"/>
          <w:sz w:val="24"/>
          <w:szCs w:val="24"/>
          <w:lang w:val="et-EE"/>
        </w:rPr>
        <w:t>lk 11) välja</w:t>
      </w:r>
      <w:r w:rsidR="005342E8">
        <w:rPr>
          <w:rFonts w:ascii="Arial" w:eastAsia="DINPro" w:hAnsi="Arial" w:cs="Arial"/>
          <w:sz w:val="24"/>
          <w:szCs w:val="24"/>
          <w:lang w:val="et-EE"/>
        </w:rPr>
        <w:t xml:space="preserve">, et </w:t>
      </w:r>
      <w:r w:rsidR="00C26FFA" w:rsidRPr="00C26FFA">
        <w:rPr>
          <w:rFonts w:ascii="Arial" w:eastAsia="DINPro" w:hAnsi="Arial" w:cs="Arial"/>
          <w:sz w:val="24"/>
          <w:szCs w:val="24"/>
          <w:lang w:val="et-EE"/>
        </w:rPr>
        <w:t>Eestis ei ole jätkuvalt lõppenud õigusteoreetilised arutelud küsimuses, kas arvestades Eesti Vabariigi põhiseaduse §-s 146 sätestatut, mille kohaselt mõistab Eesti Vabariigis õigust üksnes kohus, on haldusorganite juurde loodud kohtuväliste vaidluste lahendamise üksuste poolt siduvalt õigusemõistmise ülesannete täitmine üldse põhiseaduspärane, ja kui on, siis millistele nõuetele see peaks vastama.</w:t>
      </w:r>
    </w:p>
    <w:p w14:paraId="2513747B" w14:textId="54757226" w:rsidR="00241418" w:rsidRDefault="00241418" w:rsidP="00293FC6">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Kaubanduskoja hinnangul ei ole eelkirj</w:t>
      </w:r>
      <w:r w:rsidR="00BD4FCE">
        <w:rPr>
          <w:rFonts w:ascii="Arial" w:eastAsia="DINPro" w:hAnsi="Arial" w:cs="Arial"/>
          <w:sz w:val="24"/>
          <w:szCs w:val="24"/>
          <w:lang w:val="et-EE"/>
        </w:rPr>
        <w:t xml:space="preserve">eldatu põhjal õige ega asjakohane muuta eelnõuga komisjoni otsus </w:t>
      </w:r>
      <w:r w:rsidR="003619A5">
        <w:rPr>
          <w:rFonts w:ascii="Arial" w:eastAsia="DINPro" w:hAnsi="Arial" w:cs="Arial"/>
          <w:sz w:val="24"/>
          <w:szCs w:val="24"/>
          <w:lang w:val="et-EE"/>
        </w:rPr>
        <w:t>õiguslikult siduvaks ja täitemenetluse korras täidetavaks</w:t>
      </w:r>
      <w:r w:rsidR="000C5E26">
        <w:rPr>
          <w:rFonts w:ascii="Arial" w:eastAsia="DINPro" w:hAnsi="Arial" w:cs="Arial"/>
          <w:sz w:val="24"/>
          <w:szCs w:val="24"/>
          <w:lang w:val="et-EE"/>
        </w:rPr>
        <w:t>, kui ei ole üheselt selge, kas selline tegevus on üldse põhiseaduspärane.</w:t>
      </w:r>
    </w:p>
    <w:p w14:paraId="4BB78DCB" w14:textId="380B8122" w:rsidR="00531FF0" w:rsidRPr="00293FC6" w:rsidRDefault="00703BC3" w:rsidP="00293FC6">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Lisaks juhime tähelepanu sellele, et </w:t>
      </w:r>
      <w:r w:rsidR="005B0217">
        <w:rPr>
          <w:rFonts w:ascii="Arial" w:eastAsia="DINPro" w:hAnsi="Arial" w:cs="Arial"/>
          <w:sz w:val="24"/>
          <w:szCs w:val="24"/>
          <w:lang w:val="et-EE"/>
        </w:rPr>
        <w:t xml:space="preserve">eelnevalt viidatud Euroopa Komisjoni algatuse osas koostatud ja Vabariigi Valituse poolt </w:t>
      </w:r>
      <w:r w:rsidR="004A0E15">
        <w:rPr>
          <w:rFonts w:ascii="Arial" w:eastAsia="DINPro" w:hAnsi="Arial" w:cs="Arial"/>
          <w:sz w:val="24"/>
          <w:szCs w:val="24"/>
          <w:lang w:val="et-EE"/>
        </w:rPr>
        <w:t xml:space="preserve">kinnitatud Eesti seisukohta </w:t>
      </w:r>
      <w:r w:rsidR="00A44AD4">
        <w:rPr>
          <w:rFonts w:ascii="Arial" w:eastAsia="DINPro" w:hAnsi="Arial" w:cs="Arial"/>
          <w:sz w:val="24"/>
          <w:szCs w:val="24"/>
          <w:lang w:val="et-EE"/>
        </w:rPr>
        <w:t xml:space="preserve">punktis 1.1. on </w:t>
      </w:r>
      <w:r w:rsidR="00B3214E">
        <w:rPr>
          <w:rFonts w:ascii="Arial" w:eastAsia="DINPro" w:hAnsi="Arial" w:cs="Arial"/>
          <w:sz w:val="24"/>
          <w:szCs w:val="24"/>
          <w:lang w:val="et-EE"/>
        </w:rPr>
        <w:t xml:space="preserve">selgelt </w:t>
      </w:r>
      <w:r w:rsidR="00A44AD4">
        <w:rPr>
          <w:rFonts w:ascii="Arial" w:eastAsia="DINPro" w:hAnsi="Arial" w:cs="Arial"/>
          <w:sz w:val="24"/>
          <w:szCs w:val="24"/>
          <w:lang w:val="et-EE"/>
        </w:rPr>
        <w:t>kirjas, et e</w:t>
      </w:r>
      <w:r w:rsidR="00A44AD4" w:rsidRPr="00A44AD4">
        <w:rPr>
          <w:rFonts w:ascii="Arial" w:eastAsia="DINPro" w:hAnsi="Arial" w:cs="Arial"/>
          <w:sz w:val="24"/>
          <w:szCs w:val="24"/>
          <w:lang w:val="et-EE"/>
        </w:rPr>
        <w:t>rilist tähelepanu tuleb pöörata sellele, et direktiiviga ei kehtestataks kohustust muuta vaidluste kohtuvälise lahendamise üksuste lahendid pooltele siduvaks.</w:t>
      </w:r>
      <w:r w:rsidR="009E0672">
        <w:rPr>
          <w:rFonts w:ascii="Arial" w:eastAsia="DINPro" w:hAnsi="Arial" w:cs="Arial"/>
          <w:sz w:val="24"/>
          <w:szCs w:val="24"/>
          <w:lang w:val="et-EE"/>
        </w:rPr>
        <w:t xml:space="preserve"> </w:t>
      </w:r>
      <w:r w:rsidR="005D5F21">
        <w:rPr>
          <w:rFonts w:ascii="Arial" w:eastAsia="DINPro" w:hAnsi="Arial" w:cs="Arial"/>
          <w:sz w:val="24"/>
          <w:szCs w:val="24"/>
          <w:lang w:val="et-EE"/>
        </w:rPr>
        <w:t>Sellest seisukohast järeldame, et Vabariigi Valitsus on alles hiljuti otsustanud, et on vastu tarbijavaidluste komisjoni siduvatele otsustele</w:t>
      </w:r>
      <w:r w:rsidR="00505F20">
        <w:rPr>
          <w:rFonts w:ascii="Arial" w:eastAsia="DINPro" w:hAnsi="Arial" w:cs="Arial"/>
          <w:sz w:val="24"/>
          <w:szCs w:val="24"/>
          <w:lang w:val="et-EE"/>
        </w:rPr>
        <w:t xml:space="preserve"> ning eelnõu peaks olema kooskõlas selle seisukohaga.</w:t>
      </w:r>
    </w:p>
    <w:p w14:paraId="3F1C66F9" w14:textId="0057C92E" w:rsidR="00BE53F1" w:rsidRDefault="00BE53F1" w:rsidP="00BE53F1">
      <w:pPr>
        <w:pStyle w:val="ListParagraph"/>
        <w:numPr>
          <w:ilvl w:val="0"/>
          <w:numId w:val="5"/>
        </w:numPr>
        <w:spacing w:before="120" w:after="0" w:line="240" w:lineRule="auto"/>
        <w:contextualSpacing w:val="0"/>
        <w:jc w:val="both"/>
        <w:rPr>
          <w:rFonts w:ascii="Arial" w:eastAsia="DINPro" w:hAnsi="Arial" w:cs="Arial"/>
          <w:b/>
          <w:bCs/>
          <w:sz w:val="24"/>
          <w:szCs w:val="24"/>
          <w:lang w:val="et-EE"/>
        </w:rPr>
      </w:pPr>
      <w:r w:rsidRPr="00BE53F1">
        <w:rPr>
          <w:rFonts w:ascii="Arial" w:eastAsia="DINPro" w:hAnsi="Arial" w:cs="Arial"/>
          <w:b/>
          <w:bCs/>
          <w:sz w:val="24"/>
          <w:szCs w:val="24"/>
          <w:lang w:val="et-EE"/>
        </w:rPr>
        <w:t>Otsuste siduvaks muutmine võib suurendada pahatahtlike nõuete esitamist</w:t>
      </w:r>
    </w:p>
    <w:p w14:paraId="5D974711" w14:textId="73EC185F" w:rsidR="00BE53F1" w:rsidRPr="00BE53F1" w:rsidRDefault="000D33DE" w:rsidP="00BE53F1">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Oleme seisukohal, et komisjoni otsuste siduvaks muutmine võib praktikas suurendada pahatahtlike nõuete esitamist. </w:t>
      </w:r>
      <w:r w:rsidR="009625FE">
        <w:rPr>
          <w:rFonts w:ascii="Arial" w:eastAsia="DINPro" w:hAnsi="Arial" w:cs="Arial"/>
          <w:sz w:val="24"/>
          <w:szCs w:val="24"/>
          <w:lang w:val="et-EE"/>
        </w:rPr>
        <w:t>Otsuste siduvus võib ajendada pahatahtlik</w:t>
      </w:r>
      <w:r w:rsidR="006622BA">
        <w:rPr>
          <w:rFonts w:ascii="Arial" w:eastAsia="DINPro" w:hAnsi="Arial" w:cs="Arial"/>
          <w:sz w:val="24"/>
          <w:szCs w:val="24"/>
          <w:lang w:val="et-EE"/>
        </w:rPr>
        <w:t>k</w:t>
      </w:r>
      <w:r w:rsidR="009625FE">
        <w:rPr>
          <w:rFonts w:ascii="Arial" w:eastAsia="DINPro" w:hAnsi="Arial" w:cs="Arial"/>
          <w:sz w:val="24"/>
          <w:szCs w:val="24"/>
          <w:lang w:val="et-EE"/>
        </w:rPr>
        <w:t>e tarbijaid esitama avaldus</w:t>
      </w:r>
      <w:r w:rsidR="00411B4B">
        <w:rPr>
          <w:rFonts w:ascii="Arial" w:eastAsia="DINPro" w:hAnsi="Arial" w:cs="Arial"/>
          <w:sz w:val="24"/>
          <w:szCs w:val="24"/>
          <w:lang w:val="et-EE"/>
        </w:rPr>
        <w:t>i</w:t>
      </w:r>
      <w:r w:rsidR="009625FE">
        <w:rPr>
          <w:rFonts w:ascii="Arial" w:eastAsia="DINPro" w:hAnsi="Arial" w:cs="Arial"/>
          <w:sz w:val="24"/>
          <w:szCs w:val="24"/>
          <w:lang w:val="et-EE"/>
        </w:rPr>
        <w:t xml:space="preserve"> tarbijavaidluskomisjoni lootuses</w:t>
      </w:r>
      <w:r w:rsidR="00DE52E1">
        <w:rPr>
          <w:rFonts w:ascii="Arial" w:eastAsia="DINPro" w:hAnsi="Arial" w:cs="Arial"/>
          <w:sz w:val="24"/>
          <w:szCs w:val="24"/>
          <w:lang w:val="et-EE"/>
        </w:rPr>
        <w:t xml:space="preserve">, et </w:t>
      </w:r>
      <w:r w:rsidR="00035606">
        <w:rPr>
          <w:rFonts w:ascii="Arial" w:eastAsia="DINPro" w:hAnsi="Arial" w:cs="Arial"/>
          <w:sz w:val="24"/>
          <w:szCs w:val="24"/>
          <w:lang w:val="et-EE"/>
        </w:rPr>
        <w:t xml:space="preserve">kui </w:t>
      </w:r>
      <w:r w:rsidR="005347D5">
        <w:rPr>
          <w:rFonts w:ascii="Arial" w:eastAsia="DINPro" w:hAnsi="Arial" w:cs="Arial"/>
          <w:sz w:val="24"/>
          <w:szCs w:val="24"/>
          <w:lang w:val="et-EE"/>
        </w:rPr>
        <w:t xml:space="preserve">kaupleja jätab pahatahtliku kaebuse tähelepanuta ja ei </w:t>
      </w:r>
      <w:r w:rsidR="00F24517">
        <w:rPr>
          <w:rFonts w:ascii="Arial" w:eastAsia="DINPro" w:hAnsi="Arial" w:cs="Arial"/>
          <w:sz w:val="24"/>
          <w:szCs w:val="24"/>
          <w:lang w:val="et-EE"/>
        </w:rPr>
        <w:t xml:space="preserve">reageeri komisjoni päringutele, siis rahuldab </w:t>
      </w:r>
      <w:r w:rsidR="005720E3">
        <w:rPr>
          <w:rFonts w:ascii="Arial" w:eastAsia="DINPro" w:hAnsi="Arial" w:cs="Arial"/>
          <w:sz w:val="24"/>
          <w:szCs w:val="24"/>
          <w:lang w:val="et-EE"/>
        </w:rPr>
        <w:t xml:space="preserve">komisjon </w:t>
      </w:r>
      <w:r w:rsidR="00F24517">
        <w:rPr>
          <w:rFonts w:ascii="Arial" w:eastAsia="DINPro" w:hAnsi="Arial" w:cs="Arial"/>
          <w:sz w:val="24"/>
          <w:szCs w:val="24"/>
          <w:lang w:val="et-EE"/>
        </w:rPr>
        <w:t xml:space="preserve">tarbija </w:t>
      </w:r>
      <w:r w:rsidR="005720E3">
        <w:rPr>
          <w:rFonts w:ascii="Arial" w:eastAsia="DINPro" w:hAnsi="Arial" w:cs="Arial"/>
          <w:sz w:val="24"/>
          <w:szCs w:val="24"/>
          <w:lang w:val="et-EE"/>
        </w:rPr>
        <w:t xml:space="preserve">taotluse </w:t>
      </w:r>
      <w:r w:rsidR="006622BA">
        <w:rPr>
          <w:rFonts w:ascii="Arial" w:eastAsia="DINPro" w:hAnsi="Arial" w:cs="Arial"/>
          <w:sz w:val="24"/>
          <w:szCs w:val="24"/>
          <w:lang w:val="et-EE"/>
        </w:rPr>
        <w:t xml:space="preserve">lähtudes tarbija esitatud </w:t>
      </w:r>
      <w:r w:rsidR="009C307C">
        <w:rPr>
          <w:rFonts w:ascii="Arial" w:eastAsia="DINPro" w:hAnsi="Arial" w:cs="Arial"/>
          <w:sz w:val="24"/>
          <w:szCs w:val="24"/>
          <w:lang w:val="et-EE"/>
        </w:rPr>
        <w:t>n</w:t>
      </w:r>
      <w:r w:rsidR="00C47148">
        <w:rPr>
          <w:rFonts w:ascii="Arial" w:eastAsia="DINPro" w:hAnsi="Arial" w:cs="Arial"/>
          <w:sz w:val="24"/>
          <w:szCs w:val="24"/>
          <w:lang w:val="et-EE"/>
        </w:rPr>
        <w:t>õudest</w:t>
      </w:r>
      <w:r w:rsidR="00BC1177">
        <w:rPr>
          <w:rFonts w:ascii="Arial" w:eastAsia="DINPro" w:hAnsi="Arial" w:cs="Arial"/>
          <w:sz w:val="24"/>
          <w:szCs w:val="24"/>
          <w:lang w:val="et-EE"/>
        </w:rPr>
        <w:t xml:space="preserve"> </w:t>
      </w:r>
      <w:r w:rsidR="005720E3">
        <w:rPr>
          <w:rFonts w:ascii="Arial" w:eastAsia="DINPro" w:hAnsi="Arial" w:cs="Arial"/>
          <w:sz w:val="24"/>
          <w:szCs w:val="24"/>
          <w:lang w:val="et-EE"/>
        </w:rPr>
        <w:t xml:space="preserve">ja </w:t>
      </w:r>
      <w:r w:rsidR="00F24517">
        <w:rPr>
          <w:rFonts w:ascii="Arial" w:eastAsia="DINPro" w:hAnsi="Arial" w:cs="Arial"/>
          <w:sz w:val="24"/>
          <w:szCs w:val="24"/>
          <w:lang w:val="et-EE"/>
        </w:rPr>
        <w:t xml:space="preserve">kui </w:t>
      </w:r>
      <w:r w:rsidR="00035606">
        <w:rPr>
          <w:rFonts w:ascii="Arial" w:eastAsia="DINPro" w:hAnsi="Arial" w:cs="Arial"/>
          <w:sz w:val="24"/>
          <w:szCs w:val="24"/>
          <w:lang w:val="et-EE"/>
        </w:rPr>
        <w:t xml:space="preserve">komisjoni otsused on siduvad, siis on </w:t>
      </w:r>
      <w:r w:rsidR="00B77231">
        <w:rPr>
          <w:rFonts w:ascii="Arial" w:eastAsia="DINPro" w:hAnsi="Arial" w:cs="Arial"/>
          <w:sz w:val="24"/>
          <w:szCs w:val="24"/>
          <w:lang w:val="et-EE"/>
        </w:rPr>
        <w:t xml:space="preserve">need täitemenetluses ka täidetavad ehk pahatahtlikul </w:t>
      </w:r>
      <w:r w:rsidR="005720E3">
        <w:rPr>
          <w:rFonts w:ascii="Arial" w:eastAsia="DINPro" w:hAnsi="Arial" w:cs="Arial"/>
          <w:sz w:val="24"/>
          <w:szCs w:val="24"/>
          <w:lang w:val="et-EE"/>
        </w:rPr>
        <w:t xml:space="preserve">nõude esitajal on rahuldatud taotluse puhul võimalik igal juhul kasu saada. </w:t>
      </w:r>
      <w:r w:rsidR="00E939A4">
        <w:rPr>
          <w:rFonts w:ascii="Arial" w:eastAsia="DINPro" w:hAnsi="Arial" w:cs="Arial"/>
          <w:sz w:val="24"/>
          <w:szCs w:val="24"/>
          <w:lang w:val="et-EE"/>
        </w:rPr>
        <w:t>See risk on meie hinnangul kõrgem just piiriüleste vaidluste puhul</w:t>
      </w:r>
      <w:r w:rsidR="002E7E5A">
        <w:rPr>
          <w:rFonts w:ascii="Arial" w:eastAsia="DINPro" w:hAnsi="Arial" w:cs="Arial"/>
          <w:sz w:val="24"/>
          <w:szCs w:val="24"/>
          <w:lang w:val="et-EE"/>
        </w:rPr>
        <w:t>, näiteks olukorras, kus ot</w:t>
      </w:r>
      <w:r w:rsidR="001D0A1E">
        <w:rPr>
          <w:rFonts w:ascii="Arial" w:eastAsia="DINPro" w:hAnsi="Arial" w:cs="Arial"/>
          <w:sz w:val="24"/>
          <w:szCs w:val="24"/>
          <w:lang w:val="et-EE"/>
        </w:rPr>
        <w:t>s</w:t>
      </w:r>
      <w:r w:rsidR="002E7E5A">
        <w:rPr>
          <w:rFonts w:ascii="Arial" w:eastAsia="DINPro" w:hAnsi="Arial" w:cs="Arial"/>
          <w:sz w:val="24"/>
          <w:szCs w:val="24"/>
          <w:lang w:val="et-EE"/>
        </w:rPr>
        <w:t xml:space="preserve">use tegemiseks tuleb kohaldada ka teise riigi õigust. </w:t>
      </w:r>
      <w:r w:rsidR="00C47148">
        <w:rPr>
          <w:rFonts w:ascii="Arial" w:eastAsia="DINPro" w:hAnsi="Arial" w:cs="Arial"/>
          <w:sz w:val="24"/>
          <w:szCs w:val="24"/>
          <w:lang w:val="et-EE"/>
        </w:rPr>
        <w:t xml:space="preserve">Seda riski aitab mõnevõrra leevendada nõue, </w:t>
      </w:r>
      <w:r w:rsidR="006750A4">
        <w:rPr>
          <w:rFonts w:ascii="Arial" w:eastAsia="DINPro" w:hAnsi="Arial" w:cs="Arial"/>
          <w:sz w:val="24"/>
          <w:szCs w:val="24"/>
          <w:lang w:val="et-EE"/>
        </w:rPr>
        <w:t xml:space="preserve">et tarbija peab avalduse esitamisel tasuma 15 eurot, kuid see ei ole meie hinnangul piisav eelkirjeldatud riski maandamiseks. </w:t>
      </w:r>
    </w:p>
    <w:p w14:paraId="7878C71F" w14:textId="77777777" w:rsidR="00A22D81" w:rsidRPr="00480479" w:rsidRDefault="00A22D81" w:rsidP="00A22D81">
      <w:pPr>
        <w:pStyle w:val="ListParagraph"/>
        <w:numPr>
          <w:ilvl w:val="0"/>
          <w:numId w:val="5"/>
        </w:numPr>
        <w:spacing w:before="120" w:after="0" w:line="240" w:lineRule="auto"/>
        <w:ind w:left="714" w:hanging="357"/>
        <w:contextualSpacing w:val="0"/>
        <w:jc w:val="both"/>
        <w:rPr>
          <w:rFonts w:ascii="Arial" w:eastAsia="DINPro" w:hAnsi="Arial" w:cs="Arial"/>
          <w:b/>
          <w:bCs/>
          <w:sz w:val="24"/>
          <w:szCs w:val="24"/>
          <w:lang w:val="et-EE"/>
        </w:rPr>
      </w:pPr>
      <w:r w:rsidRPr="00480479">
        <w:rPr>
          <w:rFonts w:ascii="Arial" w:eastAsia="DINPro" w:hAnsi="Arial" w:cs="Arial"/>
          <w:b/>
          <w:bCs/>
          <w:sz w:val="24"/>
          <w:szCs w:val="24"/>
          <w:lang w:val="et-EE"/>
        </w:rPr>
        <w:lastRenderedPageBreak/>
        <w:t>Siduvad otsused muudavad komisjoni menetlusreeglid oluliselt detailsemaks ning seetõttu muutub menetlus nii tarbija kui ka komisjoni jaoks keerulisemaks.</w:t>
      </w:r>
    </w:p>
    <w:p w14:paraId="4A8E0DED" w14:textId="104AFB1D" w:rsidR="00A22D81" w:rsidRPr="00297B78" w:rsidRDefault="00A22D81" w:rsidP="00297B78">
      <w:pPr>
        <w:pStyle w:val="ListParagraph"/>
        <w:spacing w:after="0" w:line="240" w:lineRule="auto"/>
        <w:ind w:left="714"/>
        <w:contextualSpacing w:val="0"/>
        <w:jc w:val="both"/>
        <w:rPr>
          <w:rFonts w:ascii="Arial" w:eastAsia="DINPro" w:hAnsi="Arial" w:cs="Arial"/>
          <w:sz w:val="24"/>
          <w:szCs w:val="24"/>
          <w:lang w:val="et-EE"/>
        </w:rPr>
      </w:pPr>
      <w:r w:rsidRPr="00480479">
        <w:rPr>
          <w:rFonts w:ascii="Arial" w:eastAsia="DINPro" w:hAnsi="Arial" w:cs="Arial"/>
          <w:sz w:val="24"/>
          <w:szCs w:val="24"/>
          <w:lang w:val="et-EE"/>
        </w:rPr>
        <w:t xml:space="preserve">Eelnõu koostamisel on aluseks võetud töövaidluse lahendamise seaduses kehtestatud menetlusnormid, mis on oluliselt põhjalikumad kui praegu kehtivad menetlusnormid tarbijavaidluste komisjoni jaoks. Lisaks sisaldub Eelnõus mitmeid viiteid ka tsiviilkohtumenetluse seadustikule. Selle tulemusena on tarbijavaidluste komisjoni menetlusnormid oluliselt detailsemad ning pooltel on keerulisem nendest aru saada. </w:t>
      </w:r>
      <w:r w:rsidR="00297B78">
        <w:rPr>
          <w:rFonts w:ascii="Arial" w:eastAsia="DINPro" w:hAnsi="Arial" w:cs="Arial"/>
          <w:sz w:val="24"/>
          <w:szCs w:val="24"/>
          <w:lang w:val="et-EE"/>
        </w:rPr>
        <w:t>Näiteks eelnõu § 49</w:t>
      </w:r>
      <w:r w:rsidR="00297B78">
        <w:rPr>
          <w:rFonts w:ascii="Arial" w:eastAsia="DINPro" w:hAnsi="Arial" w:cs="Arial"/>
          <w:sz w:val="24"/>
          <w:szCs w:val="24"/>
          <w:vertAlign w:val="superscript"/>
          <w:lang w:val="et-EE"/>
        </w:rPr>
        <w:t>4</w:t>
      </w:r>
      <w:r w:rsidR="00297B78">
        <w:rPr>
          <w:rFonts w:ascii="Arial" w:eastAsia="DINPro" w:hAnsi="Arial" w:cs="Arial"/>
          <w:sz w:val="24"/>
          <w:szCs w:val="24"/>
          <w:lang w:val="et-EE"/>
        </w:rPr>
        <w:t xml:space="preserve"> kohaselt m</w:t>
      </w:r>
      <w:r w:rsidR="00297B78" w:rsidRPr="00297B78">
        <w:rPr>
          <w:rFonts w:ascii="Arial" w:eastAsia="DINPro" w:hAnsi="Arial" w:cs="Arial"/>
          <w:sz w:val="24"/>
          <w:szCs w:val="24"/>
          <w:lang w:val="et-EE"/>
        </w:rPr>
        <w:t>enetlusdokumendi kättetoimetamisele kohaldatakse tsiviilkohtumenetluse seadustikus menetlusdokumentide kättetoimetamise kohta sätestatut</w:t>
      </w:r>
      <w:r w:rsidR="00297B78">
        <w:rPr>
          <w:rFonts w:ascii="Arial" w:eastAsia="DINPro" w:hAnsi="Arial" w:cs="Arial"/>
          <w:sz w:val="24"/>
          <w:szCs w:val="24"/>
          <w:lang w:val="et-EE"/>
        </w:rPr>
        <w:t>. Teise näitena saab tuua eelnõu § 48</w:t>
      </w:r>
      <w:r w:rsidR="00297B78">
        <w:rPr>
          <w:rFonts w:ascii="Arial" w:eastAsia="DINPro" w:hAnsi="Arial" w:cs="Arial"/>
          <w:sz w:val="24"/>
          <w:szCs w:val="24"/>
          <w:vertAlign w:val="superscript"/>
          <w:lang w:val="et-EE"/>
        </w:rPr>
        <w:t>3</w:t>
      </w:r>
      <w:r w:rsidR="00297B78">
        <w:rPr>
          <w:rFonts w:ascii="Arial" w:eastAsia="DINPro" w:hAnsi="Arial" w:cs="Arial"/>
          <w:sz w:val="24"/>
          <w:szCs w:val="24"/>
          <w:lang w:val="et-EE"/>
        </w:rPr>
        <w:t xml:space="preserve">, mille kohaselt </w:t>
      </w:r>
      <w:r w:rsidR="00297B78" w:rsidRPr="00480479">
        <w:rPr>
          <w:rFonts w:ascii="Arial" w:eastAsia="DINPro" w:hAnsi="Arial" w:cs="Arial"/>
          <w:sz w:val="24"/>
          <w:szCs w:val="24"/>
          <w:lang w:val="et-EE"/>
        </w:rPr>
        <w:t>tarbijavaidlusasja menetlemise peatamisele kohaldatakse tsiviilkohtumenetluse seadustiku § 356 lõikeid 1 ja 2</w:t>
      </w:r>
      <w:r w:rsidR="00297B78">
        <w:rPr>
          <w:rFonts w:ascii="Arial" w:eastAsia="DINPro" w:hAnsi="Arial" w:cs="Arial"/>
          <w:sz w:val="24"/>
          <w:szCs w:val="24"/>
          <w:lang w:val="et-EE"/>
        </w:rPr>
        <w:t xml:space="preserve">. </w:t>
      </w:r>
      <w:r w:rsidRPr="00297B78">
        <w:rPr>
          <w:rFonts w:ascii="Arial" w:eastAsia="DINPro" w:hAnsi="Arial" w:cs="Arial"/>
          <w:sz w:val="24"/>
          <w:szCs w:val="24"/>
          <w:lang w:val="et-EE"/>
        </w:rPr>
        <w:t xml:space="preserve">Tarbija ja kaupleja ei pruugi viidatud normide sisust aru saada. Lisaks võib menetlusnormide detailsuse suurenemisega tekkida oht, et tarbijad peavad palkama endale juristi, kes esindaks neid komisjonis. Selle tulemusena kaasnevad tarbijale täiendavad kulud või siis võib väheneda tarbijate ligipääs komisjonile ja ka rahulolu komisjoni tööga. Seega võib otsuste siduvaks muutmine minna vastuollu </w:t>
      </w:r>
      <w:r w:rsidR="00297B78">
        <w:rPr>
          <w:rFonts w:ascii="Arial" w:eastAsia="DINPro" w:hAnsi="Arial" w:cs="Arial"/>
          <w:sz w:val="24"/>
          <w:szCs w:val="24"/>
          <w:lang w:val="et-EE"/>
        </w:rPr>
        <w:t>e</w:t>
      </w:r>
      <w:r w:rsidRPr="00297B78">
        <w:rPr>
          <w:rFonts w:ascii="Arial" w:eastAsia="DINPro" w:hAnsi="Arial" w:cs="Arial"/>
          <w:sz w:val="24"/>
          <w:szCs w:val="24"/>
          <w:lang w:val="et-EE"/>
        </w:rPr>
        <w:t>elnõu peamiste eesmärkidega muuta menetlus lihtsamaks, kiiremaks ja odavamaks.</w:t>
      </w:r>
    </w:p>
    <w:p w14:paraId="46B90986" w14:textId="77777777" w:rsidR="00A22D81" w:rsidRPr="00AD23EF" w:rsidRDefault="00A22D81" w:rsidP="00A22D81">
      <w:pPr>
        <w:pStyle w:val="ListParagraph"/>
        <w:numPr>
          <w:ilvl w:val="0"/>
          <w:numId w:val="5"/>
        </w:numPr>
        <w:spacing w:before="120" w:after="0" w:line="240" w:lineRule="auto"/>
        <w:ind w:left="714" w:hanging="357"/>
        <w:contextualSpacing w:val="0"/>
        <w:jc w:val="both"/>
        <w:rPr>
          <w:rFonts w:ascii="Arial" w:eastAsia="DINPro" w:hAnsi="Arial" w:cs="Arial"/>
          <w:b/>
          <w:bCs/>
          <w:sz w:val="24"/>
          <w:szCs w:val="24"/>
          <w:lang w:val="et-EE"/>
        </w:rPr>
      </w:pPr>
      <w:r w:rsidRPr="00AD23EF">
        <w:rPr>
          <w:rFonts w:ascii="Arial" w:eastAsia="DINPro" w:hAnsi="Arial" w:cs="Arial"/>
          <w:b/>
          <w:bCs/>
          <w:sz w:val="24"/>
          <w:szCs w:val="24"/>
          <w:lang w:val="et-EE"/>
        </w:rPr>
        <w:t xml:space="preserve">Jääb ebaselgeks, miks ei ole </w:t>
      </w:r>
      <w:r>
        <w:rPr>
          <w:rFonts w:ascii="Arial" w:eastAsia="DINPro" w:hAnsi="Arial" w:cs="Arial"/>
          <w:b/>
          <w:bCs/>
          <w:sz w:val="24"/>
          <w:szCs w:val="24"/>
          <w:lang w:val="et-EE"/>
        </w:rPr>
        <w:t xml:space="preserve">seaduse muutmise kõrval </w:t>
      </w:r>
      <w:r w:rsidRPr="00AD23EF">
        <w:rPr>
          <w:rFonts w:ascii="Arial" w:eastAsia="DINPro" w:hAnsi="Arial" w:cs="Arial"/>
          <w:b/>
          <w:bCs/>
          <w:sz w:val="24"/>
          <w:szCs w:val="24"/>
          <w:lang w:val="et-EE"/>
        </w:rPr>
        <w:t>otsitud muid võimalusi, kuidas suurendada otsuste täitmist vabatahtlikult kauplejate poolt.</w:t>
      </w:r>
    </w:p>
    <w:p w14:paraId="43AF3E02" w14:textId="77777777" w:rsidR="00A22D81" w:rsidRDefault="00A22D81" w:rsidP="00A22D81">
      <w:pPr>
        <w:pStyle w:val="ListParagraph"/>
        <w:spacing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Kaubanduskoda on saanud liikmetelt tagasisidet, et TTJA võiks oma kodulehel oluliselt paremini kuvada mustas nimekirjas olevate kauplejate nimekirja. Näiteks võiks see nimekiri olla valdkondade lõikes, et tarbijal oleks võimalik lihtsamini otsingut teha. Samuti võiks mustas nimekirjas olev kaupleja paremini välja tulla Google otsingust. Seega leiame, et olukorra parandamiseks ei pea esimese meetmena muutma seadust, vaid on võimalik kasutada ka muid meetmeid otsuste paremaks täitmiseks.</w:t>
      </w:r>
    </w:p>
    <w:p w14:paraId="34EAB4E2" w14:textId="216F51B2" w:rsidR="00A22D81" w:rsidRPr="001E7D6F" w:rsidRDefault="00A22D81" w:rsidP="00A22D81">
      <w:pPr>
        <w:pStyle w:val="ListParagraph"/>
        <w:numPr>
          <w:ilvl w:val="0"/>
          <w:numId w:val="5"/>
        </w:numPr>
        <w:spacing w:before="120" w:after="0" w:line="240" w:lineRule="auto"/>
        <w:ind w:left="714" w:hanging="357"/>
        <w:contextualSpacing w:val="0"/>
        <w:jc w:val="both"/>
        <w:rPr>
          <w:rFonts w:ascii="Arial" w:eastAsia="DINPro" w:hAnsi="Arial" w:cs="Arial"/>
          <w:sz w:val="24"/>
          <w:szCs w:val="24"/>
          <w:lang w:val="et-EE"/>
        </w:rPr>
      </w:pPr>
      <w:r w:rsidRPr="00CA6FA5">
        <w:rPr>
          <w:rFonts w:ascii="Arial" w:eastAsia="DINPro" w:hAnsi="Arial" w:cs="Arial"/>
          <w:b/>
          <w:bCs/>
          <w:sz w:val="24"/>
          <w:szCs w:val="24"/>
          <w:lang w:val="et-EE"/>
        </w:rPr>
        <w:t>Siduvad otsused võivad vähendada kaupleja usaldusväärsust ja rahulolu komisjoni menetlus</w:t>
      </w:r>
      <w:r>
        <w:rPr>
          <w:rFonts w:ascii="Arial" w:eastAsia="DINPro" w:hAnsi="Arial" w:cs="Arial"/>
          <w:b/>
          <w:bCs/>
          <w:sz w:val="24"/>
          <w:szCs w:val="24"/>
          <w:lang w:val="et-EE"/>
        </w:rPr>
        <w:t>t</w:t>
      </w:r>
      <w:r w:rsidRPr="00CA6FA5">
        <w:rPr>
          <w:rFonts w:ascii="Arial" w:eastAsia="DINPro" w:hAnsi="Arial" w:cs="Arial"/>
          <w:b/>
          <w:bCs/>
          <w:sz w:val="24"/>
          <w:szCs w:val="24"/>
          <w:lang w:val="et-EE"/>
        </w:rPr>
        <w:t>e osas.</w:t>
      </w:r>
      <w:r>
        <w:rPr>
          <w:rFonts w:ascii="Arial" w:eastAsia="DINPro" w:hAnsi="Arial" w:cs="Arial"/>
          <w:sz w:val="24"/>
          <w:szCs w:val="24"/>
          <w:lang w:val="et-EE"/>
        </w:rPr>
        <w:t xml:space="preserve"> Kui </w:t>
      </w:r>
      <w:r w:rsidR="00F25984">
        <w:rPr>
          <w:rFonts w:ascii="Arial" w:eastAsia="DINPro" w:hAnsi="Arial" w:cs="Arial"/>
          <w:sz w:val="24"/>
          <w:szCs w:val="24"/>
          <w:lang w:val="et-EE"/>
        </w:rPr>
        <w:t>kauplejate rahulolu</w:t>
      </w:r>
      <w:r>
        <w:rPr>
          <w:rFonts w:ascii="Arial" w:eastAsia="DINPro" w:hAnsi="Arial" w:cs="Arial"/>
          <w:sz w:val="24"/>
          <w:szCs w:val="24"/>
          <w:lang w:val="et-EE"/>
        </w:rPr>
        <w:t>küsitluse tulemused näitavad, et kauplejad ei ole rahul komisjoni tööga, siis võivad siduvad otsused veelgi vähendada kaupleja rahulolu. Näiteks kui kaupleja hinnangul ei ole otsus kvaliteetne ja kui muuta sellise otsuse täitmine kaupleja jaoks kohustuslikuks, siis see vähendab kaupleja rahulolu.</w:t>
      </w:r>
    </w:p>
    <w:p w14:paraId="6C25D269" w14:textId="034963C4" w:rsidR="00E2483C" w:rsidRPr="008D053E" w:rsidRDefault="008D053E" w:rsidP="00A22D81">
      <w:pPr>
        <w:pStyle w:val="ListParagraph"/>
        <w:numPr>
          <w:ilvl w:val="0"/>
          <w:numId w:val="5"/>
        </w:numPr>
        <w:spacing w:before="120" w:after="0" w:line="240" w:lineRule="auto"/>
        <w:ind w:left="714" w:hanging="357"/>
        <w:contextualSpacing w:val="0"/>
        <w:jc w:val="both"/>
        <w:rPr>
          <w:rFonts w:ascii="Arial" w:eastAsia="DINPro" w:hAnsi="Arial" w:cs="Arial"/>
          <w:sz w:val="24"/>
          <w:szCs w:val="24"/>
          <w:lang w:val="et-EE"/>
        </w:rPr>
      </w:pPr>
      <w:r>
        <w:rPr>
          <w:rFonts w:ascii="Arial" w:eastAsia="DINPro" w:hAnsi="Arial" w:cs="Arial"/>
          <w:b/>
          <w:bCs/>
          <w:sz w:val="24"/>
          <w:szCs w:val="24"/>
          <w:lang w:val="et-EE"/>
        </w:rPr>
        <w:t>Komisjoni töös võib olla ebaühtlane kvaliteet</w:t>
      </w:r>
    </w:p>
    <w:p w14:paraId="05FC623E" w14:textId="73F79DDA" w:rsidR="005C2BBA" w:rsidRDefault="00C43E5D" w:rsidP="001C36C6">
      <w:pPr>
        <w:pStyle w:val="ListParagraph"/>
        <w:spacing w:before="120" w:after="0" w:line="240" w:lineRule="auto"/>
        <w:ind w:left="714"/>
        <w:jc w:val="both"/>
        <w:rPr>
          <w:rFonts w:ascii="Arial" w:eastAsia="DINPro" w:hAnsi="Arial" w:cs="Arial"/>
          <w:sz w:val="24"/>
          <w:szCs w:val="24"/>
          <w:lang w:val="et-EE"/>
        </w:rPr>
      </w:pPr>
      <w:r>
        <w:rPr>
          <w:rFonts w:ascii="Arial" w:eastAsia="DINPro" w:hAnsi="Arial" w:cs="Arial"/>
          <w:sz w:val="24"/>
          <w:szCs w:val="24"/>
          <w:lang w:val="et-EE"/>
        </w:rPr>
        <w:t xml:space="preserve">Kaubanduskoja hinnangul võib komisjoni töö kvaliteet olla ka ebaühtlane, mistõttu ei ole õigustatud otsuste siduvaks muutmine. </w:t>
      </w:r>
      <w:r w:rsidR="008008AC">
        <w:rPr>
          <w:rFonts w:ascii="Arial" w:eastAsia="DINPro" w:hAnsi="Arial" w:cs="Arial"/>
          <w:sz w:val="24"/>
          <w:szCs w:val="24"/>
          <w:lang w:val="et-EE"/>
        </w:rPr>
        <w:t xml:space="preserve">Oleme seisukohal, et </w:t>
      </w:r>
      <w:r w:rsidR="00BE1EAA">
        <w:rPr>
          <w:rFonts w:ascii="Arial" w:eastAsia="DINPro" w:hAnsi="Arial" w:cs="Arial"/>
          <w:sz w:val="24"/>
          <w:szCs w:val="24"/>
          <w:lang w:val="et-EE"/>
        </w:rPr>
        <w:t>leidub</w:t>
      </w:r>
      <w:r w:rsidR="008008AC">
        <w:rPr>
          <w:rFonts w:ascii="Arial" w:eastAsia="DINPro" w:hAnsi="Arial" w:cs="Arial"/>
          <w:sz w:val="24"/>
          <w:szCs w:val="24"/>
          <w:lang w:val="et-EE"/>
        </w:rPr>
        <w:t xml:space="preserve"> komisjoni otsuseid, mis on asjakohased ning sisaldavad ekspertarvamust, kuid leidub ka neid, mis on subjektiivs</w:t>
      </w:r>
      <w:r w:rsidR="004F17E1">
        <w:rPr>
          <w:rFonts w:ascii="Arial" w:eastAsia="DINPro" w:hAnsi="Arial" w:cs="Arial"/>
          <w:sz w:val="24"/>
          <w:szCs w:val="24"/>
          <w:lang w:val="et-EE"/>
        </w:rPr>
        <w:t>emad.</w:t>
      </w:r>
      <w:r w:rsidR="00620BF0">
        <w:rPr>
          <w:rFonts w:ascii="Arial" w:eastAsia="DINPro" w:hAnsi="Arial" w:cs="Arial"/>
          <w:sz w:val="24"/>
          <w:szCs w:val="24"/>
          <w:lang w:val="et-EE"/>
        </w:rPr>
        <w:t xml:space="preserve"> Kuna </w:t>
      </w:r>
      <w:r w:rsidR="002B059B">
        <w:rPr>
          <w:rFonts w:ascii="Arial" w:eastAsia="DINPro" w:hAnsi="Arial" w:cs="Arial"/>
          <w:sz w:val="24"/>
          <w:szCs w:val="24"/>
          <w:lang w:val="et-EE"/>
        </w:rPr>
        <w:t>vaidluste lahendamine võib nõuda spetsiifilisi teadmisi, siis</w:t>
      </w:r>
      <w:r w:rsidR="000367EC">
        <w:rPr>
          <w:rFonts w:ascii="Arial" w:eastAsia="DINPro" w:hAnsi="Arial" w:cs="Arial"/>
          <w:sz w:val="24"/>
          <w:szCs w:val="24"/>
          <w:lang w:val="et-EE"/>
        </w:rPr>
        <w:t xml:space="preserve"> peaks komisjoni otsuste siduvaks muutumise korral olema tagatud see, et komisjoni otsused ei oleks subjektiivsed ning tarbija poole kaldu, vaid tugineksid ekspertarvamustele. Sellise olukorra tagamine tarbijavaidluste komisjonis </w:t>
      </w:r>
      <w:r w:rsidR="00E60738">
        <w:rPr>
          <w:rFonts w:ascii="Arial" w:eastAsia="DINPro" w:hAnsi="Arial" w:cs="Arial"/>
          <w:sz w:val="24"/>
          <w:szCs w:val="24"/>
          <w:lang w:val="et-EE"/>
        </w:rPr>
        <w:t>on</w:t>
      </w:r>
      <w:r w:rsidR="000367EC">
        <w:rPr>
          <w:rFonts w:ascii="Arial" w:eastAsia="DINPro" w:hAnsi="Arial" w:cs="Arial"/>
          <w:sz w:val="24"/>
          <w:szCs w:val="24"/>
          <w:lang w:val="et-EE"/>
        </w:rPr>
        <w:t xml:space="preserve"> Kaubanduskoja hinnangul </w:t>
      </w:r>
      <w:r w:rsidR="00E60738">
        <w:rPr>
          <w:rFonts w:ascii="Arial" w:eastAsia="DINPro" w:hAnsi="Arial" w:cs="Arial"/>
          <w:sz w:val="24"/>
          <w:szCs w:val="24"/>
          <w:lang w:val="et-EE"/>
        </w:rPr>
        <w:t>keeruline</w:t>
      </w:r>
      <w:r w:rsidR="00890D19">
        <w:rPr>
          <w:rFonts w:ascii="Arial" w:eastAsia="DINPro" w:hAnsi="Arial" w:cs="Arial"/>
          <w:sz w:val="24"/>
          <w:szCs w:val="24"/>
          <w:lang w:val="et-EE"/>
        </w:rPr>
        <w:t xml:space="preserve">. </w:t>
      </w:r>
    </w:p>
    <w:p w14:paraId="02BA9FF3" w14:textId="77777777" w:rsidR="0003572E" w:rsidRDefault="0003572E" w:rsidP="001C36C6">
      <w:pPr>
        <w:pStyle w:val="ListParagraph"/>
        <w:spacing w:before="120" w:after="0" w:line="240" w:lineRule="auto"/>
        <w:ind w:left="714"/>
        <w:jc w:val="both"/>
        <w:rPr>
          <w:rFonts w:ascii="Arial" w:eastAsia="DINPro" w:hAnsi="Arial" w:cs="Arial"/>
          <w:sz w:val="24"/>
          <w:szCs w:val="24"/>
          <w:lang w:val="et-EE"/>
        </w:rPr>
      </w:pPr>
    </w:p>
    <w:p w14:paraId="5A384E35" w14:textId="7D6FA436" w:rsidR="008D053E" w:rsidRPr="0003572E" w:rsidRDefault="0003572E" w:rsidP="00B02356">
      <w:pPr>
        <w:pStyle w:val="ListParagraph"/>
        <w:spacing w:before="120" w:after="0" w:line="240" w:lineRule="auto"/>
        <w:ind w:left="714"/>
        <w:jc w:val="both"/>
        <w:rPr>
          <w:rFonts w:ascii="Arial" w:eastAsia="DINPro" w:hAnsi="Arial" w:cs="Arial"/>
          <w:sz w:val="24"/>
          <w:szCs w:val="24"/>
          <w:lang w:val="et-EE"/>
        </w:rPr>
      </w:pPr>
      <w:r>
        <w:rPr>
          <w:rFonts w:ascii="Arial" w:eastAsia="DINPro" w:hAnsi="Arial" w:cs="Arial"/>
          <w:sz w:val="24"/>
          <w:szCs w:val="24"/>
          <w:lang w:val="et-EE"/>
        </w:rPr>
        <w:t xml:space="preserve">Lisaks on eelnõu </w:t>
      </w:r>
      <w:r w:rsidR="00B65FDA">
        <w:rPr>
          <w:rFonts w:ascii="Arial" w:eastAsia="DINPro" w:hAnsi="Arial" w:cs="Arial"/>
          <w:sz w:val="24"/>
          <w:szCs w:val="24"/>
          <w:lang w:val="et-EE"/>
        </w:rPr>
        <w:t xml:space="preserve">§ 56 lõike 3 kohaselt võimalus, et </w:t>
      </w:r>
      <w:r w:rsidR="00213816">
        <w:rPr>
          <w:rFonts w:ascii="Arial" w:eastAsia="DINPro" w:hAnsi="Arial" w:cs="Arial"/>
          <w:sz w:val="24"/>
          <w:szCs w:val="24"/>
          <w:lang w:val="et-EE"/>
        </w:rPr>
        <w:t>komisjonil tuleb vaidluse lahendamiseks kohaldada välisriigi õigust.</w:t>
      </w:r>
      <w:r w:rsidR="00695A95">
        <w:rPr>
          <w:rFonts w:ascii="Arial" w:eastAsia="DINPro" w:hAnsi="Arial" w:cs="Arial"/>
          <w:sz w:val="24"/>
          <w:szCs w:val="24"/>
          <w:lang w:val="et-EE"/>
        </w:rPr>
        <w:t xml:space="preserve"> Seletuskirjas on välja toodud, et näiteks </w:t>
      </w:r>
      <w:r w:rsidR="00695A95" w:rsidRPr="00695A95">
        <w:rPr>
          <w:rFonts w:ascii="Arial" w:eastAsia="DINPro" w:hAnsi="Arial" w:cs="Arial"/>
          <w:sz w:val="24"/>
          <w:szCs w:val="24"/>
          <w:lang w:val="et-EE"/>
        </w:rPr>
        <w:t>kui Eesti kaupleja, kes on suunanud oma tegevuse Soome ja selle raames sõlmib lepinguid Soome tarbijatega, kohaldub lepingule Soome õigus</w:t>
      </w:r>
      <w:r w:rsidR="00695A95">
        <w:rPr>
          <w:rFonts w:ascii="Arial" w:eastAsia="DINPro" w:hAnsi="Arial" w:cs="Arial"/>
          <w:sz w:val="24"/>
          <w:szCs w:val="24"/>
          <w:lang w:val="et-EE"/>
        </w:rPr>
        <w:t xml:space="preserve"> ja s</w:t>
      </w:r>
      <w:r w:rsidR="00695A95" w:rsidRPr="00695A95">
        <w:rPr>
          <w:rFonts w:ascii="Arial" w:eastAsia="DINPro" w:hAnsi="Arial" w:cs="Arial"/>
          <w:sz w:val="24"/>
          <w:szCs w:val="24"/>
          <w:lang w:val="et-EE"/>
        </w:rPr>
        <w:t xml:space="preserve">eega, sellise lepinguga seonduva vaidluse lahendamisel Eesti komisjonis tuleb arvestada Soome lepinguõiguse sätetega. </w:t>
      </w:r>
      <w:r w:rsidR="001600A6">
        <w:rPr>
          <w:rFonts w:ascii="Arial" w:eastAsia="DINPro" w:hAnsi="Arial" w:cs="Arial"/>
          <w:sz w:val="24"/>
          <w:szCs w:val="24"/>
          <w:lang w:val="et-EE"/>
        </w:rPr>
        <w:t xml:space="preserve">Tunneme muret, et kuidas toimub sellisel juhul menetlusnormide tõlkimine või kas tarbija ja kaupleja võivad eeldada, et komisjoni liikmed valdavad näiteks soome, saksa või mõne muu riigi keelt ja tunnevad vastava riigi seadusandlust selliselt, et suudavad menetluses oleva </w:t>
      </w:r>
      <w:r w:rsidR="00D21AD0">
        <w:rPr>
          <w:rFonts w:ascii="Arial" w:eastAsia="DINPro" w:hAnsi="Arial" w:cs="Arial"/>
          <w:sz w:val="24"/>
          <w:szCs w:val="24"/>
          <w:lang w:val="et-EE"/>
        </w:rPr>
        <w:t xml:space="preserve">taotluse lahendada õigesti ja õiglaselt. </w:t>
      </w:r>
      <w:r w:rsidR="000B4DFC">
        <w:rPr>
          <w:rFonts w:ascii="Arial" w:eastAsia="DINPro" w:hAnsi="Arial" w:cs="Arial"/>
          <w:sz w:val="24"/>
          <w:szCs w:val="24"/>
          <w:lang w:val="et-EE"/>
        </w:rPr>
        <w:t xml:space="preserve">Komisjoni otsus ei saa olla osapoolte jaoks siduv, kui ei ole tagatud, et see on lahendatud õiglaselt </w:t>
      </w:r>
      <w:r w:rsidR="00B02356">
        <w:rPr>
          <w:rFonts w:ascii="Arial" w:eastAsia="DINPro" w:hAnsi="Arial" w:cs="Arial"/>
          <w:sz w:val="24"/>
          <w:szCs w:val="24"/>
          <w:lang w:val="et-EE"/>
        </w:rPr>
        <w:t xml:space="preserve">mõlema osapoole suhtes. </w:t>
      </w:r>
    </w:p>
    <w:p w14:paraId="2B2A19FE" w14:textId="77777777" w:rsidR="00A22D81" w:rsidRPr="002E565F" w:rsidRDefault="00A22D81" w:rsidP="00A22D81">
      <w:pPr>
        <w:numPr>
          <w:ilvl w:val="0"/>
          <w:numId w:val="4"/>
        </w:numPr>
        <w:spacing w:before="120" w:after="0" w:line="240" w:lineRule="auto"/>
        <w:ind w:left="714" w:hanging="357"/>
        <w:contextualSpacing/>
        <w:jc w:val="both"/>
        <w:rPr>
          <w:rFonts w:ascii="Arial" w:eastAsia="DINPro" w:hAnsi="Arial" w:cs="Arial"/>
          <w:b/>
          <w:bCs/>
          <w:sz w:val="24"/>
          <w:szCs w:val="24"/>
          <w:lang w:val="et-EE"/>
        </w:rPr>
      </w:pPr>
      <w:r w:rsidRPr="002E565F">
        <w:rPr>
          <w:rFonts w:ascii="Arial" w:eastAsia="DINPro" w:hAnsi="Arial" w:cs="Arial"/>
          <w:b/>
          <w:bCs/>
          <w:sz w:val="24"/>
          <w:szCs w:val="24"/>
          <w:lang w:val="et-EE"/>
        </w:rPr>
        <w:t>Ka paljudes teistes EL liikmesriikides ei ole riikliku kohtuvälise menetluse tulemuseks siduvad otsused</w:t>
      </w:r>
      <w:r w:rsidRPr="002E565F">
        <w:rPr>
          <w:rFonts w:ascii="Arial" w:eastAsia="DINPro" w:hAnsi="Arial" w:cs="Arial"/>
          <w:sz w:val="24"/>
          <w:szCs w:val="24"/>
          <w:lang w:val="et-EE"/>
        </w:rPr>
        <w:t>, nt</w:t>
      </w:r>
      <w:r w:rsidRPr="002E565F">
        <w:rPr>
          <w:rFonts w:ascii="Arial" w:eastAsia="DINPro" w:hAnsi="Arial" w:cs="Arial"/>
          <w:b/>
          <w:bCs/>
          <w:sz w:val="24"/>
          <w:szCs w:val="24"/>
          <w:lang w:val="et-EE"/>
        </w:rPr>
        <w:t xml:space="preserve"> </w:t>
      </w:r>
      <w:r w:rsidRPr="002E565F">
        <w:rPr>
          <w:rFonts w:ascii="Arial" w:eastAsia="DINPro" w:hAnsi="Arial" w:cs="Arial"/>
          <w:sz w:val="24"/>
          <w:szCs w:val="24"/>
          <w:lang w:val="et-EE"/>
        </w:rPr>
        <w:t>Soomes, Taanis, Austrias.</w:t>
      </w:r>
      <w:r w:rsidRPr="002E565F">
        <w:rPr>
          <w:rFonts w:ascii="Arial" w:eastAsia="DINPro" w:hAnsi="Arial" w:cs="Arial"/>
          <w:sz w:val="24"/>
          <w:szCs w:val="24"/>
          <w:vertAlign w:val="superscript"/>
          <w:lang w:val="et-EE"/>
        </w:rPr>
        <w:footnoteReference w:id="2"/>
      </w:r>
    </w:p>
    <w:p w14:paraId="09340197" w14:textId="77777777" w:rsidR="00A22D81" w:rsidRPr="00480479" w:rsidRDefault="00A22D81" w:rsidP="006B5C49">
      <w:pPr>
        <w:spacing w:before="120" w:after="0" w:line="240" w:lineRule="auto"/>
        <w:jc w:val="both"/>
        <w:rPr>
          <w:rFonts w:ascii="Arial" w:eastAsia="DINPro" w:hAnsi="Arial" w:cs="Arial"/>
          <w:b/>
          <w:bCs/>
          <w:sz w:val="24"/>
          <w:szCs w:val="24"/>
          <w:u w:val="single"/>
          <w:lang w:val="et-EE"/>
        </w:rPr>
      </w:pPr>
      <w:r w:rsidRPr="00480479">
        <w:rPr>
          <w:rFonts w:ascii="Arial" w:eastAsia="DINPro" w:hAnsi="Arial" w:cs="Arial"/>
          <w:b/>
          <w:bCs/>
          <w:sz w:val="24"/>
          <w:szCs w:val="24"/>
          <w:u w:val="single"/>
          <w:lang w:val="et-EE"/>
        </w:rPr>
        <w:t>Kaubanduskoja ettepanek:</w:t>
      </w:r>
    </w:p>
    <w:p w14:paraId="2B2DA8F1" w14:textId="18BB2225" w:rsidR="00A22D81" w:rsidRPr="00212AD3" w:rsidRDefault="00A22D81" w:rsidP="006B5C49">
      <w:pPr>
        <w:spacing w:after="0" w:line="240" w:lineRule="auto"/>
        <w:jc w:val="both"/>
        <w:rPr>
          <w:rFonts w:ascii="Arial" w:eastAsia="DINPro" w:hAnsi="Arial" w:cs="Arial"/>
          <w:b/>
          <w:bCs/>
          <w:sz w:val="24"/>
          <w:szCs w:val="24"/>
          <w:lang w:val="et-EE"/>
        </w:rPr>
      </w:pPr>
      <w:r w:rsidRPr="00480479">
        <w:rPr>
          <w:rFonts w:ascii="Arial" w:eastAsia="DINPro" w:hAnsi="Arial" w:cs="Arial"/>
          <w:b/>
          <w:bCs/>
          <w:sz w:val="24"/>
          <w:szCs w:val="24"/>
          <w:lang w:val="et-EE"/>
        </w:rPr>
        <w:t xml:space="preserve">Jätta </w:t>
      </w:r>
      <w:r w:rsidR="006153E3">
        <w:rPr>
          <w:rFonts w:ascii="Arial" w:eastAsia="DINPro" w:hAnsi="Arial" w:cs="Arial"/>
          <w:b/>
          <w:bCs/>
          <w:sz w:val="24"/>
          <w:szCs w:val="24"/>
          <w:lang w:val="et-EE"/>
        </w:rPr>
        <w:t>e</w:t>
      </w:r>
      <w:r w:rsidR="006153E3" w:rsidRPr="00480479">
        <w:rPr>
          <w:rFonts w:ascii="Arial" w:eastAsia="DINPro" w:hAnsi="Arial" w:cs="Arial"/>
          <w:b/>
          <w:bCs/>
          <w:sz w:val="24"/>
          <w:szCs w:val="24"/>
          <w:lang w:val="et-EE"/>
        </w:rPr>
        <w:t xml:space="preserve">elnõust </w:t>
      </w:r>
      <w:r w:rsidRPr="00480479">
        <w:rPr>
          <w:rFonts w:ascii="Arial" w:eastAsia="DINPro" w:hAnsi="Arial" w:cs="Arial"/>
          <w:b/>
          <w:bCs/>
          <w:sz w:val="24"/>
          <w:szCs w:val="24"/>
          <w:lang w:val="et-EE"/>
        </w:rPr>
        <w:t>välja sätted, mis muudavad tarbijavaidluste komisjoni otsused õiguslikult siduvaks.</w:t>
      </w:r>
    </w:p>
    <w:p w14:paraId="3670F090" w14:textId="77777777" w:rsidR="00A22D81" w:rsidRDefault="00A22D81" w:rsidP="00A22D81">
      <w:pPr>
        <w:spacing w:before="120" w:after="0" w:line="240" w:lineRule="auto"/>
        <w:jc w:val="both"/>
        <w:rPr>
          <w:rFonts w:ascii="Arial" w:eastAsia="DINPro" w:hAnsi="Arial" w:cs="Arial"/>
          <w:sz w:val="24"/>
          <w:szCs w:val="24"/>
          <w:lang w:val="et-EE"/>
        </w:rPr>
      </w:pPr>
    </w:p>
    <w:p w14:paraId="2D426FC7" w14:textId="191DF21B" w:rsidR="00A22D81" w:rsidRDefault="006B5C49" w:rsidP="006B5C49">
      <w:pPr>
        <w:pStyle w:val="ListParagraph"/>
        <w:numPr>
          <w:ilvl w:val="0"/>
          <w:numId w:val="3"/>
        </w:numPr>
        <w:spacing w:before="120" w:after="0" w:line="240" w:lineRule="auto"/>
        <w:jc w:val="both"/>
        <w:rPr>
          <w:rFonts w:ascii="Arial" w:eastAsia="DINPro" w:hAnsi="Arial" w:cs="Arial"/>
          <w:b/>
          <w:bCs/>
          <w:sz w:val="24"/>
          <w:szCs w:val="24"/>
          <w:lang w:val="et-EE"/>
        </w:rPr>
      </w:pPr>
      <w:r w:rsidRPr="006B5C49">
        <w:rPr>
          <w:rFonts w:ascii="Arial" w:eastAsia="DINPro" w:hAnsi="Arial" w:cs="Arial"/>
          <w:b/>
          <w:bCs/>
          <w:sz w:val="24"/>
          <w:szCs w:val="24"/>
          <w:lang w:val="et-EE"/>
        </w:rPr>
        <w:t>Riigilõivu hüvitamine kaupleja poolt</w:t>
      </w:r>
    </w:p>
    <w:p w14:paraId="3BC0BAAC" w14:textId="555B20F3" w:rsidR="00463F2D" w:rsidRDefault="006B5C49" w:rsidP="006B5C49">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 48 lõike 2 kohaselt </w:t>
      </w:r>
      <w:r w:rsidRPr="006B5C49">
        <w:rPr>
          <w:rFonts w:ascii="Arial" w:eastAsia="DINPro" w:hAnsi="Arial" w:cs="Arial"/>
          <w:sz w:val="24"/>
          <w:szCs w:val="24"/>
          <w:lang w:val="et-EE"/>
        </w:rPr>
        <w:t>võib komisjon tarbija nõuet rahuldavas otsuses kohustada kauplejat hüvitama tarbijale tema tasutud riigilõivu.</w:t>
      </w:r>
      <w:r w:rsidR="005923F0">
        <w:rPr>
          <w:rFonts w:ascii="Arial" w:eastAsia="DINPro" w:hAnsi="Arial" w:cs="Arial"/>
          <w:sz w:val="24"/>
          <w:szCs w:val="24"/>
          <w:lang w:val="et-EE"/>
        </w:rPr>
        <w:t xml:space="preserve"> Mõistame, et </w:t>
      </w:r>
      <w:r w:rsidR="00246D8E">
        <w:rPr>
          <w:rFonts w:ascii="Arial" w:eastAsia="DINPro" w:hAnsi="Arial" w:cs="Arial"/>
          <w:sz w:val="24"/>
          <w:szCs w:val="24"/>
          <w:lang w:val="et-EE"/>
        </w:rPr>
        <w:t>eelnõus sätestatud § 48 lõike 2 koostamisel on eeskujuks võetus tsi</w:t>
      </w:r>
      <w:r w:rsidR="00543A3F">
        <w:rPr>
          <w:rFonts w:ascii="Arial" w:eastAsia="DINPro" w:hAnsi="Arial" w:cs="Arial"/>
          <w:sz w:val="24"/>
          <w:szCs w:val="24"/>
          <w:lang w:val="et-EE"/>
        </w:rPr>
        <w:t>vi</w:t>
      </w:r>
      <w:r w:rsidR="00246D8E">
        <w:rPr>
          <w:rFonts w:ascii="Arial" w:eastAsia="DINPro" w:hAnsi="Arial" w:cs="Arial"/>
          <w:sz w:val="24"/>
          <w:szCs w:val="24"/>
          <w:lang w:val="et-EE"/>
        </w:rPr>
        <w:t xml:space="preserve">ilkohtumenetlus, kus </w:t>
      </w:r>
      <w:r w:rsidR="00E80275">
        <w:rPr>
          <w:rFonts w:ascii="Arial" w:eastAsia="DINPro" w:hAnsi="Arial" w:cs="Arial"/>
          <w:sz w:val="24"/>
          <w:szCs w:val="24"/>
          <w:lang w:val="et-EE"/>
        </w:rPr>
        <w:t xml:space="preserve">kulud kannab pool, kelle kahjuks otsus tehti </w:t>
      </w:r>
      <w:r w:rsidR="00FD5C6D">
        <w:rPr>
          <w:rFonts w:ascii="Arial" w:eastAsia="DINPro" w:hAnsi="Arial" w:cs="Arial"/>
          <w:sz w:val="24"/>
          <w:szCs w:val="24"/>
          <w:lang w:val="et-EE"/>
        </w:rPr>
        <w:t>(</w:t>
      </w:r>
      <w:proofErr w:type="spellStart"/>
      <w:r w:rsidR="00FD5C6D">
        <w:rPr>
          <w:rFonts w:ascii="Arial" w:eastAsia="DINPro" w:hAnsi="Arial" w:cs="Arial"/>
          <w:sz w:val="24"/>
          <w:szCs w:val="24"/>
          <w:lang w:val="et-EE"/>
        </w:rPr>
        <w:t>TsMS</w:t>
      </w:r>
      <w:proofErr w:type="spellEnd"/>
      <w:r w:rsidR="00FD5C6D">
        <w:rPr>
          <w:rFonts w:ascii="Arial" w:eastAsia="DINPro" w:hAnsi="Arial" w:cs="Arial"/>
          <w:sz w:val="24"/>
          <w:szCs w:val="24"/>
          <w:lang w:val="et-EE"/>
        </w:rPr>
        <w:t xml:space="preserve"> § 162 lg 1). </w:t>
      </w:r>
      <w:r w:rsidR="00371621">
        <w:rPr>
          <w:rFonts w:ascii="Arial" w:eastAsia="DINPro" w:hAnsi="Arial" w:cs="Arial"/>
          <w:sz w:val="24"/>
          <w:szCs w:val="24"/>
          <w:lang w:val="et-EE"/>
        </w:rPr>
        <w:t>Kaubanduskoda palub täpsustada, kuid</w:t>
      </w:r>
      <w:r w:rsidR="00805441">
        <w:rPr>
          <w:rFonts w:ascii="Arial" w:eastAsia="DINPro" w:hAnsi="Arial" w:cs="Arial"/>
          <w:sz w:val="24"/>
          <w:szCs w:val="24"/>
          <w:lang w:val="et-EE"/>
        </w:rPr>
        <w:t>as</w:t>
      </w:r>
      <w:r w:rsidR="00371621">
        <w:rPr>
          <w:rFonts w:ascii="Arial" w:eastAsia="DINPro" w:hAnsi="Arial" w:cs="Arial"/>
          <w:sz w:val="24"/>
          <w:szCs w:val="24"/>
          <w:lang w:val="et-EE"/>
        </w:rPr>
        <w:t xml:space="preserve"> kohaldub eelnõu § 48 lg 2 </w:t>
      </w:r>
      <w:r w:rsidR="00D3294E">
        <w:rPr>
          <w:rFonts w:ascii="Arial" w:eastAsia="DINPro" w:hAnsi="Arial" w:cs="Arial"/>
          <w:sz w:val="24"/>
          <w:szCs w:val="24"/>
          <w:lang w:val="et-EE"/>
        </w:rPr>
        <w:t xml:space="preserve">olukorras, kus </w:t>
      </w:r>
      <w:r w:rsidR="009D036E">
        <w:rPr>
          <w:rFonts w:ascii="Arial" w:eastAsia="DINPro" w:hAnsi="Arial" w:cs="Arial"/>
          <w:sz w:val="24"/>
          <w:szCs w:val="24"/>
          <w:lang w:val="et-EE"/>
        </w:rPr>
        <w:t>avaldus rahulda</w:t>
      </w:r>
      <w:r w:rsidR="00805441">
        <w:rPr>
          <w:rFonts w:ascii="Arial" w:eastAsia="DINPro" w:hAnsi="Arial" w:cs="Arial"/>
          <w:sz w:val="24"/>
          <w:szCs w:val="24"/>
          <w:lang w:val="et-EE"/>
        </w:rPr>
        <w:t>takse osaliselt.</w:t>
      </w:r>
      <w:r w:rsidR="00F579C5">
        <w:rPr>
          <w:rFonts w:ascii="Arial" w:eastAsia="DINPro" w:hAnsi="Arial" w:cs="Arial"/>
          <w:sz w:val="24"/>
          <w:szCs w:val="24"/>
          <w:lang w:val="et-EE"/>
        </w:rPr>
        <w:t xml:space="preserve"> </w:t>
      </w:r>
    </w:p>
    <w:p w14:paraId="0FD1A3D8" w14:textId="5E19B397" w:rsidR="0083199C" w:rsidRPr="006B5C49" w:rsidRDefault="00463F2D" w:rsidP="006B5C49">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Eelnõu seletuskirja punkti</w:t>
      </w:r>
      <w:r w:rsidR="00A00001">
        <w:rPr>
          <w:rFonts w:ascii="Arial" w:eastAsia="DINPro" w:hAnsi="Arial" w:cs="Arial"/>
          <w:sz w:val="24"/>
          <w:szCs w:val="24"/>
          <w:lang w:val="et-EE"/>
        </w:rPr>
        <w:t>s</w:t>
      </w:r>
      <w:r>
        <w:rPr>
          <w:rFonts w:ascii="Arial" w:eastAsia="DINPro" w:hAnsi="Arial" w:cs="Arial"/>
          <w:sz w:val="24"/>
          <w:szCs w:val="24"/>
          <w:lang w:val="et-EE"/>
        </w:rPr>
        <w:t xml:space="preserve"> </w:t>
      </w:r>
      <w:r w:rsidR="00A00001">
        <w:rPr>
          <w:rFonts w:ascii="Arial" w:eastAsia="DINPro" w:hAnsi="Arial" w:cs="Arial"/>
          <w:sz w:val="24"/>
          <w:szCs w:val="24"/>
          <w:lang w:val="et-EE"/>
        </w:rPr>
        <w:t>6.2.1. on kirjutatud, et eelnõuga</w:t>
      </w:r>
      <w:r w:rsidR="00A00001" w:rsidRPr="00A00001">
        <w:rPr>
          <w:rFonts w:ascii="Arial" w:eastAsia="DINPro" w:hAnsi="Arial" w:cs="Arial"/>
          <w:sz w:val="24"/>
          <w:szCs w:val="24"/>
          <w:lang w:val="et-EE"/>
        </w:rPr>
        <w:t xml:space="preserve"> on kavandatud, et kaupleja hüvitab tarbijale tema tasutud riigilõivu, kui tarbijavaidluse menetlemine lõpeb tarbijale positiivse otsusega ja tarbija nõue kas rahuldatakse täielikult või osaliselt.</w:t>
      </w:r>
      <w:r w:rsidR="00A00001">
        <w:rPr>
          <w:rFonts w:ascii="Arial" w:eastAsia="DINPro" w:hAnsi="Arial" w:cs="Arial"/>
          <w:sz w:val="24"/>
          <w:szCs w:val="24"/>
          <w:lang w:val="et-EE"/>
        </w:rPr>
        <w:t xml:space="preserve"> Eelnõu § 48 lg 2 sõnastusest o</w:t>
      </w:r>
      <w:r w:rsidR="00F579C5">
        <w:rPr>
          <w:rFonts w:ascii="Arial" w:eastAsia="DINPro" w:hAnsi="Arial" w:cs="Arial"/>
          <w:sz w:val="24"/>
          <w:szCs w:val="24"/>
          <w:lang w:val="et-EE"/>
        </w:rPr>
        <w:t xml:space="preserve">n arusaadav, et komisjonil </w:t>
      </w:r>
      <w:r w:rsidR="00A00001">
        <w:rPr>
          <w:rFonts w:ascii="Arial" w:eastAsia="DINPro" w:hAnsi="Arial" w:cs="Arial"/>
          <w:sz w:val="24"/>
          <w:szCs w:val="24"/>
          <w:lang w:val="et-EE"/>
        </w:rPr>
        <w:t xml:space="preserve">on </w:t>
      </w:r>
      <w:r w:rsidR="00F579C5">
        <w:rPr>
          <w:rFonts w:ascii="Arial" w:eastAsia="DINPro" w:hAnsi="Arial" w:cs="Arial"/>
          <w:sz w:val="24"/>
          <w:szCs w:val="24"/>
          <w:lang w:val="et-EE"/>
        </w:rPr>
        <w:t>otsustusvabadus</w:t>
      </w:r>
      <w:r w:rsidR="00A00001">
        <w:rPr>
          <w:rFonts w:ascii="Arial" w:eastAsia="DINPro" w:hAnsi="Arial" w:cs="Arial"/>
          <w:sz w:val="24"/>
          <w:szCs w:val="24"/>
          <w:lang w:val="et-EE"/>
        </w:rPr>
        <w:t xml:space="preserve"> mitte kohustus</w:t>
      </w:r>
      <w:r w:rsidR="00F579C5">
        <w:rPr>
          <w:rFonts w:ascii="Arial" w:eastAsia="DINPro" w:hAnsi="Arial" w:cs="Arial"/>
          <w:sz w:val="24"/>
          <w:szCs w:val="24"/>
          <w:lang w:val="et-EE"/>
        </w:rPr>
        <w:t xml:space="preserve"> </w:t>
      </w:r>
      <w:r w:rsidR="001425CF">
        <w:rPr>
          <w:rFonts w:ascii="Arial" w:eastAsia="DINPro" w:hAnsi="Arial" w:cs="Arial"/>
          <w:sz w:val="24"/>
          <w:szCs w:val="24"/>
          <w:lang w:val="et-EE"/>
        </w:rPr>
        <w:t xml:space="preserve">määrata tarbija nõude rahuldamise korral kauplejale kohustus </w:t>
      </w:r>
      <w:r w:rsidR="006C67B8">
        <w:rPr>
          <w:rFonts w:ascii="Arial" w:eastAsia="DINPro" w:hAnsi="Arial" w:cs="Arial"/>
          <w:sz w:val="24"/>
          <w:szCs w:val="24"/>
          <w:lang w:val="et-EE"/>
        </w:rPr>
        <w:t>hüvitada tarbija tasutud riigilõiv</w:t>
      </w:r>
      <w:r w:rsidR="00A00001">
        <w:rPr>
          <w:rFonts w:ascii="Arial" w:eastAsia="DINPro" w:hAnsi="Arial" w:cs="Arial"/>
          <w:sz w:val="24"/>
          <w:szCs w:val="24"/>
          <w:lang w:val="et-EE"/>
        </w:rPr>
        <w:t>. Siiski ei tule</w:t>
      </w:r>
      <w:r w:rsidR="006902E0">
        <w:rPr>
          <w:rFonts w:ascii="Arial" w:eastAsia="DINPro" w:hAnsi="Arial" w:cs="Arial"/>
          <w:sz w:val="24"/>
          <w:szCs w:val="24"/>
          <w:lang w:val="et-EE"/>
        </w:rPr>
        <w:t xml:space="preserve"> eelnõu § 48 lõike 2 sõnastusest välja see, kuidas toimub riigilõivu hüvitamine tarbija nõude osalise rahuldamise korral. Kaubanduskoja hinnangul tuleb </w:t>
      </w:r>
      <w:r w:rsidR="006C67B8">
        <w:rPr>
          <w:rFonts w:ascii="Arial" w:eastAsia="DINPro" w:hAnsi="Arial" w:cs="Arial"/>
          <w:sz w:val="24"/>
          <w:szCs w:val="24"/>
          <w:lang w:val="et-EE"/>
        </w:rPr>
        <w:t xml:space="preserve">täiendada </w:t>
      </w:r>
      <w:r w:rsidR="006902E0">
        <w:rPr>
          <w:rFonts w:ascii="Arial" w:eastAsia="DINPro" w:hAnsi="Arial" w:cs="Arial"/>
          <w:sz w:val="24"/>
          <w:szCs w:val="24"/>
          <w:lang w:val="et-EE"/>
        </w:rPr>
        <w:t xml:space="preserve">eelnõud ja seletuskirja </w:t>
      </w:r>
      <w:r w:rsidR="006C67B8">
        <w:rPr>
          <w:rFonts w:ascii="Arial" w:eastAsia="DINPro" w:hAnsi="Arial" w:cs="Arial"/>
          <w:sz w:val="24"/>
          <w:szCs w:val="24"/>
          <w:lang w:val="et-EE"/>
        </w:rPr>
        <w:t xml:space="preserve">selles osas, </w:t>
      </w:r>
      <w:r w:rsidR="003A01A8">
        <w:rPr>
          <w:rFonts w:ascii="Arial" w:eastAsia="DINPro" w:hAnsi="Arial" w:cs="Arial"/>
          <w:sz w:val="24"/>
          <w:szCs w:val="24"/>
          <w:lang w:val="et-EE"/>
        </w:rPr>
        <w:t xml:space="preserve">et milline on olukord tarbija nõude osalise rahuldamise korral. </w:t>
      </w:r>
      <w:r w:rsidR="00D777BA">
        <w:rPr>
          <w:rFonts w:ascii="Arial" w:eastAsia="DINPro" w:hAnsi="Arial" w:cs="Arial"/>
          <w:sz w:val="24"/>
          <w:szCs w:val="24"/>
          <w:lang w:val="et-EE"/>
        </w:rPr>
        <w:t>Eelnõu</w:t>
      </w:r>
      <w:r w:rsidR="006902E0">
        <w:rPr>
          <w:rFonts w:ascii="Arial" w:eastAsia="DINPro" w:hAnsi="Arial" w:cs="Arial"/>
          <w:sz w:val="24"/>
          <w:szCs w:val="24"/>
          <w:lang w:val="et-EE"/>
        </w:rPr>
        <w:t xml:space="preserve"> ja seletuskirja</w:t>
      </w:r>
      <w:r w:rsidR="00D777BA">
        <w:rPr>
          <w:rFonts w:ascii="Arial" w:eastAsia="DINPro" w:hAnsi="Arial" w:cs="Arial"/>
          <w:sz w:val="24"/>
          <w:szCs w:val="24"/>
          <w:lang w:val="et-EE"/>
        </w:rPr>
        <w:t xml:space="preserve"> täiendamine eelnimetatud osas tagab õigusselguse kõigile osapooltele ning tagab, et komisjoni tegevus oleks ühetaoline. </w:t>
      </w:r>
    </w:p>
    <w:p w14:paraId="6CBEB546" w14:textId="77777777" w:rsidR="006B5C49" w:rsidRPr="00480479" w:rsidRDefault="006B5C49" w:rsidP="006B5C49">
      <w:pPr>
        <w:spacing w:before="120" w:after="0" w:line="240" w:lineRule="auto"/>
        <w:jc w:val="both"/>
        <w:rPr>
          <w:rFonts w:ascii="Arial" w:eastAsia="DINPro" w:hAnsi="Arial" w:cs="Arial"/>
          <w:b/>
          <w:bCs/>
          <w:sz w:val="24"/>
          <w:szCs w:val="24"/>
          <w:u w:val="single"/>
          <w:lang w:val="et-EE"/>
        </w:rPr>
      </w:pPr>
      <w:r w:rsidRPr="00480479">
        <w:rPr>
          <w:rFonts w:ascii="Arial" w:eastAsia="DINPro" w:hAnsi="Arial" w:cs="Arial"/>
          <w:b/>
          <w:bCs/>
          <w:sz w:val="24"/>
          <w:szCs w:val="24"/>
          <w:u w:val="single"/>
          <w:lang w:val="et-EE"/>
        </w:rPr>
        <w:t>Kaubanduskoja ettepanek:</w:t>
      </w:r>
    </w:p>
    <w:p w14:paraId="52E0AE32" w14:textId="64BA5EAB" w:rsidR="001B41C7" w:rsidRPr="001B41C7" w:rsidRDefault="0083199C" w:rsidP="001B41C7">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T</w:t>
      </w:r>
      <w:r w:rsidR="00197752">
        <w:rPr>
          <w:rFonts w:ascii="Arial" w:eastAsia="DINPro" w:hAnsi="Arial" w:cs="Arial"/>
          <w:b/>
          <w:bCs/>
          <w:sz w:val="24"/>
          <w:szCs w:val="24"/>
          <w:lang w:val="et-EE"/>
        </w:rPr>
        <w:t xml:space="preserve">uua eelnõus ja seletuskirjas välja, </w:t>
      </w:r>
      <w:r w:rsidR="001B41C7">
        <w:rPr>
          <w:rFonts w:ascii="Arial" w:eastAsia="DINPro" w:hAnsi="Arial" w:cs="Arial"/>
          <w:b/>
          <w:bCs/>
          <w:sz w:val="24"/>
          <w:szCs w:val="24"/>
          <w:lang w:val="et-EE"/>
        </w:rPr>
        <w:t xml:space="preserve">kuidas kohaldub eelnõu § 48 lõige 2 olukorras, kus tarbija nõue rahuldatakse osaliselt. </w:t>
      </w:r>
    </w:p>
    <w:p w14:paraId="736AC64E" w14:textId="1087A682" w:rsidR="001B41C7" w:rsidRDefault="001B41C7" w:rsidP="006B5C49">
      <w:pPr>
        <w:spacing w:after="0" w:line="240" w:lineRule="auto"/>
        <w:jc w:val="both"/>
        <w:rPr>
          <w:rFonts w:ascii="Arial" w:eastAsia="DINPro" w:hAnsi="Arial" w:cs="Arial"/>
          <w:b/>
          <w:bCs/>
          <w:sz w:val="24"/>
          <w:szCs w:val="24"/>
          <w:lang w:val="et-EE"/>
        </w:rPr>
      </w:pPr>
    </w:p>
    <w:p w14:paraId="1F10B3A1" w14:textId="77777777" w:rsidR="006B5C49" w:rsidRDefault="006B5C49" w:rsidP="006B5C49">
      <w:pPr>
        <w:spacing w:after="0" w:line="240" w:lineRule="auto"/>
        <w:jc w:val="both"/>
        <w:rPr>
          <w:rFonts w:ascii="Arial" w:eastAsia="DINPro" w:hAnsi="Arial" w:cs="Arial"/>
          <w:b/>
          <w:bCs/>
          <w:sz w:val="24"/>
          <w:szCs w:val="24"/>
          <w:lang w:val="et-EE"/>
        </w:rPr>
      </w:pPr>
    </w:p>
    <w:p w14:paraId="46C56928" w14:textId="0D188979" w:rsidR="006B5C49" w:rsidRPr="006B5C49" w:rsidRDefault="006B5C49" w:rsidP="006B5C49">
      <w:pPr>
        <w:pStyle w:val="ListParagraph"/>
        <w:numPr>
          <w:ilvl w:val="0"/>
          <w:numId w:val="3"/>
        </w:numPr>
        <w:spacing w:after="0" w:line="240" w:lineRule="auto"/>
        <w:jc w:val="both"/>
        <w:rPr>
          <w:rFonts w:ascii="Arial" w:eastAsia="DINPro" w:hAnsi="Arial" w:cs="Arial"/>
          <w:b/>
          <w:bCs/>
          <w:sz w:val="24"/>
          <w:szCs w:val="24"/>
          <w:lang w:val="et-EE"/>
        </w:rPr>
      </w:pPr>
      <w:r w:rsidRPr="006B5C49">
        <w:rPr>
          <w:rFonts w:ascii="Arial" w:eastAsia="DINPro" w:hAnsi="Arial" w:cs="Arial"/>
          <w:b/>
          <w:bCs/>
          <w:sz w:val="24"/>
          <w:szCs w:val="24"/>
          <w:lang w:val="et-EE"/>
        </w:rPr>
        <w:t xml:space="preserve">Riigilõiv </w:t>
      </w:r>
    </w:p>
    <w:p w14:paraId="658010C9" w14:textId="26135D77" w:rsidR="008D7FC4" w:rsidRPr="00C30D4A" w:rsidRDefault="00C30D4A" w:rsidP="00C30D4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3.1.</w:t>
      </w:r>
      <w:r w:rsidR="006B5C49" w:rsidRPr="00C30D4A">
        <w:rPr>
          <w:rFonts w:ascii="Arial" w:eastAsia="DINPro" w:hAnsi="Arial" w:cs="Arial"/>
          <w:sz w:val="24"/>
          <w:szCs w:val="24"/>
          <w:lang w:val="et-EE"/>
        </w:rPr>
        <w:t xml:space="preserve">Eelnõu § 46 kohaselt tasub tarbija tarbijavaidluste komisjonile esitatud avalduse läbivaatamise eest riigilõivu vastavalt riigilõivuseadusele. Eelnõu § </w:t>
      </w:r>
      <w:r w:rsidR="004D5765" w:rsidRPr="00C30D4A">
        <w:rPr>
          <w:rFonts w:ascii="Arial" w:eastAsia="DINPro" w:hAnsi="Arial" w:cs="Arial"/>
          <w:sz w:val="24"/>
          <w:szCs w:val="24"/>
          <w:lang w:val="et-EE"/>
        </w:rPr>
        <w:t>2</w:t>
      </w:r>
      <w:r w:rsidR="006B5C49" w:rsidRPr="00C30D4A">
        <w:rPr>
          <w:rFonts w:ascii="Arial" w:eastAsia="DINPro" w:hAnsi="Arial" w:cs="Arial"/>
          <w:sz w:val="24"/>
          <w:szCs w:val="24"/>
          <w:lang w:val="et-EE"/>
        </w:rPr>
        <w:t xml:space="preserve"> p 2 näeb ette, et </w:t>
      </w:r>
      <w:r w:rsidR="006B5C49" w:rsidRPr="00C30D4A">
        <w:rPr>
          <w:rFonts w:ascii="Arial" w:eastAsia="DINPro" w:hAnsi="Arial" w:cs="Arial"/>
          <w:sz w:val="24"/>
          <w:szCs w:val="24"/>
          <w:lang w:val="et-EE"/>
        </w:rPr>
        <w:lastRenderedPageBreak/>
        <w:t>tarbijal tuleb tarbijavaidluste komisjonile esitatud avalduse läbivaatamise eest tasuda riigilõivu 15 eurot.</w:t>
      </w:r>
      <w:r w:rsidR="00E15C3F">
        <w:rPr>
          <w:rFonts w:ascii="Arial" w:eastAsia="DINPro" w:hAnsi="Arial" w:cs="Arial"/>
          <w:sz w:val="24"/>
          <w:szCs w:val="24"/>
          <w:lang w:val="et-EE"/>
        </w:rPr>
        <w:t xml:space="preserve"> Hetkel on riigilõiv summas 15 eurot kehtestatud nõude suurusest sõltumata. Kaubandusk</w:t>
      </w:r>
      <w:r w:rsidR="00A82CFE">
        <w:rPr>
          <w:rFonts w:ascii="Arial" w:eastAsia="DINPro" w:hAnsi="Arial" w:cs="Arial"/>
          <w:sz w:val="24"/>
          <w:szCs w:val="24"/>
          <w:lang w:val="et-EE"/>
        </w:rPr>
        <w:t xml:space="preserve">oja hinnangul võiks </w:t>
      </w:r>
      <w:bookmarkStart w:id="0" w:name="_Hlk160622911"/>
      <w:r w:rsidR="00A82CFE">
        <w:rPr>
          <w:rFonts w:ascii="Arial" w:eastAsia="DINPro" w:hAnsi="Arial" w:cs="Arial"/>
          <w:sz w:val="24"/>
          <w:szCs w:val="24"/>
          <w:lang w:val="et-EE"/>
        </w:rPr>
        <w:t>riigilõiv suuruses 1</w:t>
      </w:r>
      <w:r w:rsidR="00777E25">
        <w:rPr>
          <w:rFonts w:ascii="Arial" w:eastAsia="DINPro" w:hAnsi="Arial" w:cs="Arial"/>
          <w:sz w:val="24"/>
          <w:szCs w:val="24"/>
          <w:lang w:val="et-EE"/>
        </w:rPr>
        <w:t xml:space="preserve">5 eurot kehtida nõudele suuruses kuni 500 eurot ning peale seda oleks riigilõiv proportsioonis </w:t>
      </w:r>
      <w:r w:rsidR="00FB5371">
        <w:rPr>
          <w:rFonts w:ascii="Arial" w:eastAsia="DINPro" w:hAnsi="Arial" w:cs="Arial"/>
          <w:sz w:val="24"/>
          <w:szCs w:val="24"/>
          <w:lang w:val="et-EE"/>
        </w:rPr>
        <w:t>esitatud nõudega</w:t>
      </w:r>
      <w:r w:rsidR="006D768C">
        <w:rPr>
          <w:rFonts w:ascii="Arial" w:eastAsia="DINPro" w:hAnsi="Arial" w:cs="Arial"/>
          <w:sz w:val="24"/>
          <w:szCs w:val="24"/>
          <w:lang w:val="et-EE"/>
        </w:rPr>
        <w:t xml:space="preserve"> ehk tarbijavaidluskomisjoni pöördumise puhul võiks kehtida diferen</w:t>
      </w:r>
      <w:r w:rsidR="00C613F5">
        <w:rPr>
          <w:rFonts w:ascii="Arial" w:eastAsia="DINPro" w:hAnsi="Arial" w:cs="Arial"/>
          <w:sz w:val="24"/>
          <w:szCs w:val="24"/>
          <w:lang w:val="et-EE"/>
        </w:rPr>
        <w:t>tseeritud riigilõiv</w:t>
      </w:r>
      <w:r w:rsidR="00FB5371">
        <w:rPr>
          <w:rFonts w:ascii="Arial" w:eastAsia="DINPro" w:hAnsi="Arial" w:cs="Arial"/>
          <w:sz w:val="24"/>
          <w:szCs w:val="24"/>
          <w:lang w:val="et-EE"/>
        </w:rPr>
        <w:t xml:space="preserve">. </w:t>
      </w:r>
      <w:bookmarkEnd w:id="0"/>
      <w:r w:rsidR="00A2161C">
        <w:rPr>
          <w:rFonts w:ascii="Arial" w:eastAsia="DINPro" w:hAnsi="Arial" w:cs="Arial"/>
          <w:sz w:val="24"/>
          <w:szCs w:val="24"/>
          <w:lang w:val="et-EE"/>
        </w:rPr>
        <w:t xml:space="preserve">Eelnõu kohaselt oleks </w:t>
      </w:r>
      <w:r w:rsidR="00B177A5">
        <w:rPr>
          <w:rFonts w:ascii="Arial" w:eastAsia="DINPro" w:hAnsi="Arial" w:cs="Arial"/>
          <w:sz w:val="24"/>
          <w:szCs w:val="24"/>
          <w:lang w:val="et-EE"/>
        </w:rPr>
        <w:t>nii 150</w:t>
      </w:r>
      <w:r w:rsidR="006546B6">
        <w:rPr>
          <w:rFonts w:ascii="Arial" w:eastAsia="DINPro" w:hAnsi="Arial" w:cs="Arial"/>
          <w:sz w:val="24"/>
          <w:szCs w:val="24"/>
          <w:lang w:val="et-EE"/>
        </w:rPr>
        <w:t>-</w:t>
      </w:r>
      <w:r w:rsidR="00B177A5">
        <w:rPr>
          <w:rFonts w:ascii="Arial" w:eastAsia="DINPro" w:hAnsi="Arial" w:cs="Arial"/>
          <w:sz w:val="24"/>
          <w:szCs w:val="24"/>
          <w:lang w:val="et-EE"/>
        </w:rPr>
        <w:t>eurose nõude kui ka 6000</w:t>
      </w:r>
      <w:r w:rsidR="006546B6">
        <w:rPr>
          <w:rFonts w:ascii="Arial" w:eastAsia="DINPro" w:hAnsi="Arial" w:cs="Arial"/>
          <w:sz w:val="24"/>
          <w:szCs w:val="24"/>
          <w:lang w:val="et-EE"/>
        </w:rPr>
        <w:t>-</w:t>
      </w:r>
      <w:r w:rsidR="00B177A5">
        <w:rPr>
          <w:rFonts w:ascii="Arial" w:eastAsia="DINPro" w:hAnsi="Arial" w:cs="Arial"/>
          <w:sz w:val="24"/>
          <w:szCs w:val="24"/>
          <w:lang w:val="et-EE"/>
        </w:rPr>
        <w:t>eurose nõude korral riigilõiv sama ehk 15 eurot. Kaubanduskoja hinnangul nõude suuruse</w:t>
      </w:r>
      <w:r w:rsidR="00416423">
        <w:rPr>
          <w:rFonts w:ascii="Arial" w:eastAsia="DINPro" w:hAnsi="Arial" w:cs="Arial"/>
          <w:sz w:val="24"/>
          <w:szCs w:val="24"/>
          <w:lang w:val="et-EE"/>
        </w:rPr>
        <w:t xml:space="preserve">st sõltuv riigilõiv </w:t>
      </w:r>
      <w:r w:rsidR="00990ABB">
        <w:rPr>
          <w:rFonts w:ascii="Arial" w:eastAsia="DINPro" w:hAnsi="Arial" w:cs="Arial"/>
          <w:sz w:val="24"/>
          <w:szCs w:val="24"/>
          <w:lang w:val="et-EE"/>
        </w:rPr>
        <w:t>omaks avalduse esitajale veel suuremat distsiplineerivat mõju</w:t>
      </w:r>
      <w:r w:rsidR="008B2468">
        <w:rPr>
          <w:rFonts w:ascii="Arial" w:eastAsia="DINPro" w:hAnsi="Arial" w:cs="Arial"/>
          <w:sz w:val="24"/>
          <w:szCs w:val="24"/>
          <w:lang w:val="et-EE"/>
        </w:rPr>
        <w:t xml:space="preserve"> ning väldiks pahauskseid kaebuseid. </w:t>
      </w:r>
      <w:r w:rsidR="009F655F">
        <w:rPr>
          <w:rFonts w:ascii="Arial" w:eastAsia="DINPro" w:hAnsi="Arial" w:cs="Arial"/>
          <w:sz w:val="24"/>
          <w:szCs w:val="24"/>
          <w:lang w:val="et-EE"/>
        </w:rPr>
        <w:t xml:space="preserve">Juhul, kui komisjoni tehtud otsused muutuvad siduvaks, siis on eriti oluline, et oleks välistatud pahatahtlike tarbijate kaebused kauplejate vastu. </w:t>
      </w:r>
    </w:p>
    <w:p w14:paraId="32665B03" w14:textId="77777777" w:rsidR="003C3DFF" w:rsidRDefault="003C3DFF" w:rsidP="006B5C49">
      <w:pPr>
        <w:spacing w:after="0" w:line="240" w:lineRule="auto"/>
        <w:jc w:val="both"/>
        <w:rPr>
          <w:rFonts w:ascii="Arial" w:eastAsia="DINPro" w:hAnsi="Arial" w:cs="Arial"/>
          <w:sz w:val="24"/>
          <w:szCs w:val="24"/>
          <w:lang w:val="et-EE"/>
        </w:rPr>
      </w:pPr>
    </w:p>
    <w:p w14:paraId="7038925F" w14:textId="124C32EB" w:rsidR="003C3DFF" w:rsidRDefault="00C30D4A" w:rsidP="006B5C4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3.2.</w:t>
      </w:r>
      <w:r w:rsidR="00863E41">
        <w:rPr>
          <w:rFonts w:ascii="Arial" w:eastAsia="DINPro" w:hAnsi="Arial" w:cs="Arial"/>
          <w:sz w:val="24"/>
          <w:szCs w:val="24"/>
          <w:lang w:val="et-EE"/>
        </w:rPr>
        <w:t>Juhime tähelepanu, et e</w:t>
      </w:r>
      <w:r w:rsidR="003C3DFF">
        <w:rPr>
          <w:rFonts w:ascii="Arial" w:eastAsia="DINPro" w:hAnsi="Arial" w:cs="Arial"/>
          <w:sz w:val="24"/>
          <w:szCs w:val="24"/>
          <w:lang w:val="et-EE"/>
        </w:rPr>
        <w:t>elnõu seletuskirja punkti 6.2.1. lõikes 4 kirjas</w:t>
      </w:r>
      <w:r w:rsidR="00863E41">
        <w:rPr>
          <w:rFonts w:ascii="Arial" w:eastAsia="DINPro" w:hAnsi="Arial" w:cs="Arial"/>
          <w:sz w:val="24"/>
          <w:szCs w:val="24"/>
          <w:lang w:val="et-EE"/>
        </w:rPr>
        <w:t xml:space="preserve"> olevad andmed ei ole korrektsed. Punktis 6.2.1. on välja toodud, et </w:t>
      </w:r>
      <w:r w:rsidR="003C3DFF">
        <w:rPr>
          <w:rFonts w:ascii="Arial" w:eastAsia="DINPro" w:hAnsi="Arial" w:cs="Arial"/>
          <w:sz w:val="24"/>
          <w:szCs w:val="24"/>
          <w:lang w:val="et-EE"/>
        </w:rPr>
        <w:t xml:space="preserve">riigilõiv </w:t>
      </w:r>
      <w:r w:rsidR="00831881" w:rsidRPr="00831881">
        <w:rPr>
          <w:rFonts w:ascii="Arial" w:eastAsia="DINPro" w:hAnsi="Arial" w:cs="Arial"/>
          <w:sz w:val="24"/>
          <w:szCs w:val="24"/>
          <w:lang w:val="et-EE"/>
        </w:rPr>
        <w:t>15 eurot oleks vastavalt OECD statistikale Eesti kontekstis 0,7% igakuisest netosissetulekust</w:t>
      </w:r>
      <w:r w:rsidR="00831881">
        <w:rPr>
          <w:rFonts w:ascii="Arial" w:eastAsia="DINPro" w:hAnsi="Arial" w:cs="Arial"/>
          <w:sz w:val="24"/>
          <w:szCs w:val="24"/>
          <w:lang w:val="et-EE"/>
        </w:rPr>
        <w:t xml:space="preserve">“. </w:t>
      </w:r>
      <w:r w:rsidR="00863E41">
        <w:rPr>
          <w:rFonts w:ascii="Arial" w:eastAsia="DINPro" w:hAnsi="Arial" w:cs="Arial"/>
          <w:sz w:val="24"/>
          <w:szCs w:val="24"/>
          <w:lang w:val="et-EE"/>
        </w:rPr>
        <w:t>A</w:t>
      </w:r>
      <w:r w:rsidR="00831881">
        <w:rPr>
          <w:rFonts w:ascii="Arial" w:eastAsia="DINPro" w:hAnsi="Arial" w:cs="Arial"/>
          <w:sz w:val="24"/>
          <w:szCs w:val="24"/>
          <w:lang w:val="et-EE"/>
        </w:rPr>
        <w:t xml:space="preserve">ntud andmed </w:t>
      </w:r>
      <w:r w:rsidR="000C757B">
        <w:rPr>
          <w:rFonts w:ascii="Arial" w:eastAsia="DINPro" w:hAnsi="Arial" w:cs="Arial"/>
          <w:sz w:val="24"/>
          <w:szCs w:val="24"/>
          <w:lang w:val="et-EE"/>
        </w:rPr>
        <w:t xml:space="preserve">ei ole </w:t>
      </w:r>
      <w:r w:rsidR="00831881">
        <w:rPr>
          <w:rFonts w:ascii="Arial" w:eastAsia="DINPro" w:hAnsi="Arial" w:cs="Arial"/>
          <w:sz w:val="24"/>
          <w:szCs w:val="24"/>
          <w:lang w:val="et-EE"/>
        </w:rPr>
        <w:t xml:space="preserve">eelnõu </w:t>
      </w:r>
      <w:r w:rsidR="000C757B">
        <w:rPr>
          <w:rFonts w:ascii="Arial" w:eastAsia="DINPro" w:hAnsi="Arial" w:cs="Arial"/>
          <w:sz w:val="24"/>
          <w:szCs w:val="24"/>
          <w:lang w:val="et-EE"/>
        </w:rPr>
        <w:t xml:space="preserve">seletuskirjas </w:t>
      </w:r>
      <w:r w:rsidR="00831881">
        <w:rPr>
          <w:rFonts w:ascii="Arial" w:eastAsia="DINPro" w:hAnsi="Arial" w:cs="Arial"/>
          <w:sz w:val="24"/>
          <w:szCs w:val="24"/>
          <w:lang w:val="et-EE"/>
        </w:rPr>
        <w:t>korrektsed, kuna</w:t>
      </w:r>
      <w:r w:rsidR="00D80A3B">
        <w:rPr>
          <w:rFonts w:ascii="Arial" w:eastAsia="DINPro" w:hAnsi="Arial" w:cs="Arial"/>
          <w:sz w:val="24"/>
          <w:szCs w:val="24"/>
          <w:lang w:val="et-EE"/>
        </w:rPr>
        <w:t xml:space="preserve"> </w:t>
      </w:r>
      <w:r w:rsidR="00D2754A">
        <w:rPr>
          <w:rFonts w:ascii="Arial" w:eastAsia="DINPro" w:hAnsi="Arial" w:cs="Arial"/>
          <w:sz w:val="24"/>
          <w:szCs w:val="24"/>
          <w:lang w:val="et-EE"/>
        </w:rPr>
        <w:t>kirjeldatud arvutuskäigu kohaselt oleks justkui Eestis igakuine keskmine netosissetulek 2</w:t>
      </w:r>
      <w:r w:rsidR="00120E0E">
        <w:rPr>
          <w:rFonts w:ascii="Arial" w:eastAsia="DINPro" w:hAnsi="Arial" w:cs="Arial"/>
          <w:sz w:val="24"/>
          <w:szCs w:val="24"/>
          <w:lang w:val="et-EE"/>
        </w:rPr>
        <w:t> </w:t>
      </w:r>
      <w:r w:rsidR="00D2754A">
        <w:rPr>
          <w:rFonts w:ascii="Arial" w:eastAsia="DINPro" w:hAnsi="Arial" w:cs="Arial"/>
          <w:sz w:val="24"/>
          <w:szCs w:val="24"/>
          <w:lang w:val="et-EE"/>
        </w:rPr>
        <w:t>142</w:t>
      </w:r>
      <w:r w:rsidR="00120E0E">
        <w:rPr>
          <w:rFonts w:ascii="Arial" w:eastAsia="DINPro" w:hAnsi="Arial" w:cs="Arial"/>
          <w:sz w:val="24"/>
          <w:szCs w:val="24"/>
          <w:lang w:val="et-EE"/>
        </w:rPr>
        <w:t>, 86 eurot. S</w:t>
      </w:r>
      <w:r w:rsidR="00DB7F99">
        <w:rPr>
          <w:rFonts w:ascii="Arial" w:eastAsia="DINPro" w:hAnsi="Arial" w:cs="Arial"/>
          <w:sz w:val="24"/>
          <w:szCs w:val="24"/>
          <w:lang w:val="et-EE"/>
        </w:rPr>
        <w:t xml:space="preserve">tatistikaameti 2022 aasta andmete põhjal on </w:t>
      </w:r>
      <w:r w:rsidR="005D7E29">
        <w:rPr>
          <w:rFonts w:ascii="Arial" w:eastAsia="DINPro" w:hAnsi="Arial" w:cs="Arial"/>
          <w:sz w:val="24"/>
          <w:szCs w:val="24"/>
          <w:lang w:val="et-EE"/>
        </w:rPr>
        <w:t>l</w:t>
      </w:r>
      <w:r w:rsidR="00A072CE">
        <w:rPr>
          <w:rFonts w:ascii="Arial" w:eastAsia="DINPro" w:hAnsi="Arial" w:cs="Arial"/>
          <w:sz w:val="24"/>
          <w:szCs w:val="24"/>
          <w:lang w:val="et-EE"/>
        </w:rPr>
        <w:t>eibkonnaliikme netosissetulek kuus keskmiselt</w:t>
      </w:r>
      <w:r w:rsidR="00120E0E">
        <w:rPr>
          <w:rFonts w:ascii="Arial" w:eastAsia="DINPro" w:hAnsi="Arial" w:cs="Arial"/>
          <w:sz w:val="24"/>
          <w:szCs w:val="24"/>
          <w:lang w:val="et-EE"/>
        </w:rPr>
        <w:t xml:space="preserve"> hoopis</w:t>
      </w:r>
      <w:r w:rsidR="00A072CE">
        <w:rPr>
          <w:rFonts w:ascii="Arial" w:eastAsia="DINPro" w:hAnsi="Arial" w:cs="Arial"/>
          <w:sz w:val="24"/>
          <w:szCs w:val="24"/>
          <w:lang w:val="et-EE"/>
        </w:rPr>
        <w:t xml:space="preserve"> 1018,0 eurot kuus</w:t>
      </w:r>
      <w:r w:rsidR="00863E41">
        <w:rPr>
          <w:rFonts w:ascii="Arial" w:eastAsia="DINPro" w:hAnsi="Arial" w:cs="Arial"/>
          <w:sz w:val="24"/>
          <w:szCs w:val="24"/>
          <w:lang w:val="et-EE"/>
        </w:rPr>
        <w:t>.</w:t>
      </w:r>
      <w:r w:rsidR="00A072CE">
        <w:rPr>
          <w:rStyle w:val="FootnoteReference"/>
          <w:rFonts w:ascii="Arial" w:eastAsia="DINPro" w:hAnsi="Arial" w:cs="Arial"/>
          <w:sz w:val="24"/>
          <w:szCs w:val="24"/>
          <w:lang w:val="et-EE"/>
        </w:rPr>
        <w:footnoteReference w:id="3"/>
      </w:r>
      <w:r w:rsidR="00120E0E">
        <w:rPr>
          <w:rFonts w:ascii="Arial" w:eastAsia="DINPro" w:hAnsi="Arial" w:cs="Arial"/>
          <w:sz w:val="24"/>
          <w:szCs w:val="24"/>
          <w:lang w:val="et-EE"/>
        </w:rPr>
        <w:t xml:space="preserve"> </w:t>
      </w:r>
      <w:r w:rsidR="00863E41">
        <w:rPr>
          <w:rFonts w:ascii="Arial" w:eastAsia="DINPro" w:hAnsi="Arial" w:cs="Arial"/>
          <w:sz w:val="24"/>
          <w:szCs w:val="24"/>
          <w:lang w:val="et-EE"/>
        </w:rPr>
        <w:t>Kaubanduskoda palu</w:t>
      </w:r>
      <w:r w:rsidR="00686FC0">
        <w:rPr>
          <w:rFonts w:ascii="Arial" w:eastAsia="DINPro" w:hAnsi="Arial" w:cs="Arial"/>
          <w:sz w:val="24"/>
          <w:szCs w:val="24"/>
          <w:lang w:val="et-EE"/>
        </w:rPr>
        <w:t xml:space="preserve">b eelnõu seletuskirja punkt 6.2.1. </w:t>
      </w:r>
      <w:r w:rsidR="000B5784">
        <w:rPr>
          <w:rFonts w:ascii="Arial" w:eastAsia="DINPro" w:hAnsi="Arial" w:cs="Arial"/>
          <w:sz w:val="24"/>
          <w:szCs w:val="24"/>
          <w:lang w:val="et-EE"/>
        </w:rPr>
        <w:t xml:space="preserve">viia vastavusse tegelike andmetega. </w:t>
      </w:r>
    </w:p>
    <w:p w14:paraId="7DA1AE8C" w14:textId="77777777" w:rsidR="00C30D4A" w:rsidRDefault="00C30D4A" w:rsidP="006B5C49">
      <w:pPr>
        <w:spacing w:after="0" w:line="240" w:lineRule="auto"/>
        <w:jc w:val="both"/>
        <w:rPr>
          <w:rFonts w:ascii="Arial" w:eastAsia="DINPro" w:hAnsi="Arial" w:cs="Arial"/>
          <w:sz w:val="24"/>
          <w:szCs w:val="24"/>
          <w:lang w:val="et-EE"/>
        </w:rPr>
      </w:pPr>
    </w:p>
    <w:p w14:paraId="534DB8F0" w14:textId="104A2542" w:rsidR="00C30D4A" w:rsidRDefault="00C30D4A" w:rsidP="006B5C4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3.3.</w:t>
      </w:r>
      <w:r w:rsidR="00131BF2">
        <w:rPr>
          <w:rFonts w:ascii="Arial" w:eastAsia="DINPro" w:hAnsi="Arial" w:cs="Arial"/>
          <w:sz w:val="24"/>
          <w:szCs w:val="24"/>
          <w:lang w:val="et-EE"/>
        </w:rPr>
        <w:t xml:space="preserve">Eelnõu § 57 lg 3 kohaselt </w:t>
      </w:r>
      <w:r w:rsidR="00131BF2" w:rsidRPr="00131BF2">
        <w:rPr>
          <w:rFonts w:ascii="Arial" w:eastAsia="DINPro" w:hAnsi="Arial" w:cs="Arial"/>
          <w:sz w:val="24"/>
          <w:szCs w:val="24"/>
          <w:lang w:val="et-EE"/>
        </w:rPr>
        <w:t>võib tarbija esitada kohtusse hagi tarbijavaidlusasja lahendamiseks rahuldamata osas</w:t>
      </w:r>
      <w:r w:rsidR="00131BF2">
        <w:rPr>
          <w:rFonts w:ascii="Arial" w:eastAsia="DINPro" w:hAnsi="Arial" w:cs="Arial"/>
          <w:sz w:val="24"/>
          <w:szCs w:val="24"/>
          <w:lang w:val="et-EE"/>
        </w:rPr>
        <w:t xml:space="preserve">, kui </w:t>
      </w:r>
      <w:r w:rsidR="00244CA8" w:rsidRPr="00244CA8">
        <w:rPr>
          <w:rFonts w:ascii="Arial" w:eastAsia="DINPro" w:hAnsi="Arial" w:cs="Arial"/>
          <w:sz w:val="24"/>
          <w:szCs w:val="24"/>
          <w:lang w:val="et-EE"/>
        </w:rPr>
        <w:t>komisjon jätab tarbija avalduse rahuldamata või rahuldab selle osaliselt</w:t>
      </w:r>
      <w:r w:rsidR="00244CA8">
        <w:rPr>
          <w:rFonts w:ascii="Arial" w:eastAsia="DINPro" w:hAnsi="Arial" w:cs="Arial"/>
          <w:sz w:val="24"/>
          <w:szCs w:val="24"/>
          <w:lang w:val="et-EE"/>
        </w:rPr>
        <w:t xml:space="preserve">. Eelnõust ei selgu, kuidas toimub riigilõivu juurde tasumine </w:t>
      </w:r>
      <w:r w:rsidR="00CD7817">
        <w:rPr>
          <w:rFonts w:ascii="Arial" w:eastAsia="DINPro" w:hAnsi="Arial" w:cs="Arial"/>
          <w:sz w:val="24"/>
          <w:szCs w:val="24"/>
          <w:lang w:val="et-EE"/>
        </w:rPr>
        <w:t>eelnõu § 57 lg 3 sätestatud olukorras või kas tarbija jaoks jääb sellises olukorras riigilõiv samaks nagu on sätestatud eel</w:t>
      </w:r>
      <w:r w:rsidR="007C7120">
        <w:rPr>
          <w:rFonts w:ascii="Arial" w:eastAsia="DINPro" w:hAnsi="Arial" w:cs="Arial"/>
          <w:sz w:val="24"/>
          <w:szCs w:val="24"/>
          <w:lang w:val="et-EE"/>
        </w:rPr>
        <w:t xml:space="preserve">nõu § 2 lõike 2 ehk 15 eurot. Kaubanduskoja hinnangul on oluline, et </w:t>
      </w:r>
      <w:r w:rsidR="00C43AAD">
        <w:rPr>
          <w:rFonts w:ascii="Arial" w:eastAsia="DINPro" w:hAnsi="Arial" w:cs="Arial"/>
          <w:sz w:val="24"/>
          <w:szCs w:val="24"/>
          <w:lang w:val="et-EE"/>
        </w:rPr>
        <w:t>eelnõus oleks sätestatud, kuid</w:t>
      </w:r>
      <w:r w:rsidR="00E14CB0">
        <w:rPr>
          <w:rFonts w:ascii="Arial" w:eastAsia="DINPro" w:hAnsi="Arial" w:cs="Arial"/>
          <w:sz w:val="24"/>
          <w:szCs w:val="24"/>
          <w:lang w:val="et-EE"/>
        </w:rPr>
        <w:t>as</w:t>
      </w:r>
      <w:r w:rsidR="00C43AAD">
        <w:rPr>
          <w:rFonts w:ascii="Arial" w:eastAsia="DINPro" w:hAnsi="Arial" w:cs="Arial"/>
          <w:sz w:val="24"/>
          <w:szCs w:val="24"/>
          <w:lang w:val="et-EE"/>
        </w:rPr>
        <w:t xml:space="preserve"> sellisel juhul toimub riigilõivu juurde tasumine või kas selle suurus jääb samaks. </w:t>
      </w:r>
    </w:p>
    <w:p w14:paraId="64DE07CB" w14:textId="77777777" w:rsidR="006B5C49" w:rsidRPr="003B7CF7" w:rsidRDefault="006B5C49" w:rsidP="006B5C49">
      <w:pPr>
        <w:spacing w:before="120" w:after="0" w:line="240" w:lineRule="auto"/>
        <w:jc w:val="both"/>
        <w:rPr>
          <w:rFonts w:ascii="Arial" w:eastAsia="DINPro" w:hAnsi="Arial" w:cs="Arial"/>
          <w:b/>
          <w:bCs/>
          <w:sz w:val="24"/>
          <w:szCs w:val="24"/>
          <w:u w:val="single"/>
          <w:lang w:val="et-EE"/>
        </w:rPr>
      </w:pPr>
      <w:r w:rsidRPr="003B7CF7">
        <w:rPr>
          <w:rFonts w:ascii="Arial" w:eastAsia="DINPro" w:hAnsi="Arial" w:cs="Arial"/>
          <w:b/>
          <w:bCs/>
          <w:sz w:val="24"/>
          <w:szCs w:val="24"/>
          <w:u w:val="single"/>
          <w:lang w:val="et-EE"/>
        </w:rPr>
        <w:t>Kaubanduskoja seisukoht:</w:t>
      </w:r>
    </w:p>
    <w:p w14:paraId="34DDD874" w14:textId="07841E2F" w:rsidR="006B5C49" w:rsidRPr="003B7CF7" w:rsidRDefault="006B5C49" w:rsidP="006B5C49">
      <w:pPr>
        <w:spacing w:after="0" w:line="240" w:lineRule="auto"/>
        <w:jc w:val="both"/>
        <w:rPr>
          <w:rFonts w:ascii="Arial" w:eastAsia="DINPro" w:hAnsi="Arial" w:cs="Arial"/>
          <w:b/>
          <w:bCs/>
          <w:sz w:val="24"/>
          <w:szCs w:val="24"/>
          <w:lang w:val="et-EE"/>
        </w:rPr>
      </w:pPr>
      <w:r w:rsidRPr="003B7CF7">
        <w:rPr>
          <w:rFonts w:ascii="Arial" w:eastAsia="DINPro" w:hAnsi="Arial" w:cs="Arial"/>
          <w:b/>
          <w:bCs/>
          <w:sz w:val="24"/>
          <w:szCs w:val="24"/>
          <w:lang w:val="et-EE"/>
        </w:rPr>
        <w:t>Kaubanduskoda toetab tarbijale riigilõivu kehtestamist. Nõustume seletuskirjas väljatooduga, et riigilõivul on avalduse esitajale distsiplineeriv mõju. Leiame, et riigilõivu kehtestamine on hea meede, et vähendada nö pahatahtlike tarbijate kaebuseid kaupleja vastu ning väga väikeste summadega seotud avalduste esitamist.</w:t>
      </w:r>
      <w:r w:rsidR="006E346D">
        <w:rPr>
          <w:rFonts w:ascii="Arial" w:eastAsia="DINPro" w:hAnsi="Arial" w:cs="Arial"/>
          <w:b/>
          <w:bCs/>
          <w:sz w:val="24"/>
          <w:szCs w:val="24"/>
          <w:lang w:val="et-EE"/>
        </w:rPr>
        <w:t xml:space="preserve"> Kaubanduskoda teeb ettepaneku, et </w:t>
      </w:r>
      <w:r w:rsidR="006E346D" w:rsidRPr="006E346D">
        <w:rPr>
          <w:rFonts w:ascii="Arial" w:eastAsia="DINPro" w:hAnsi="Arial" w:cs="Arial"/>
          <w:b/>
          <w:bCs/>
          <w:sz w:val="24"/>
          <w:szCs w:val="24"/>
          <w:lang w:val="et-EE"/>
        </w:rPr>
        <w:t xml:space="preserve">riigilõiv suuruses 15 eurot </w:t>
      </w:r>
      <w:r w:rsidR="006E346D">
        <w:rPr>
          <w:rFonts w:ascii="Arial" w:eastAsia="DINPro" w:hAnsi="Arial" w:cs="Arial"/>
          <w:b/>
          <w:bCs/>
          <w:sz w:val="24"/>
          <w:szCs w:val="24"/>
          <w:lang w:val="et-EE"/>
        </w:rPr>
        <w:t xml:space="preserve">võiks </w:t>
      </w:r>
      <w:r w:rsidR="006E346D" w:rsidRPr="006E346D">
        <w:rPr>
          <w:rFonts w:ascii="Arial" w:eastAsia="DINPro" w:hAnsi="Arial" w:cs="Arial"/>
          <w:b/>
          <w:bCs/>
          <w:sz w:val="24"/>
          <w:szCs w:val="24"/>
          <w:lang w:val="et-EE"/>
        </w:rPr>
        <w:t xml:space="preserve">kehtida nõudele suuruses kuni 500 eurot ning </w:t>
      </w:r>
      <w:r w:rsidR="004A6A2C">
        <w:rPr>
          <w:rFonts w:ascii="Arial" w:eastAsia="DINPro" w:hAnsi="Arial" w:cs="Arial"/>
          <w:b/>
          <w:bCs/>
          <w:sz w:val="24"/>
          <w:szCs w:val="24"/>
          <w:lang w:val="et-EE"/>
        </w:rPr>
        <w:t xml:space="preserve">suuremate nõuete puhul </w:t>
      </w:r>
      <w:r w:rsidR="006E346D">
        <w:rPr>
          <w:rFonts w:ascii="Arial" w:eastAsia="DINPro" w:hAnsi="Arial" w:cs="Arial"/>
          <w:b/>
          <w:bCs/>
          <w:sz w:val="24"/>
          <w:szCs w:val="24"/>
          <w:lang w:val="et-EE"/>
        </w:rPr>
        <w:t xml:space="preserve">võiks </w:t>
      </w:r>
      <w:r w:rsidR="006E346D" w:rsidRPr="006E346D">
        <w:rPr>
          <w:rFonts w:ascii="Arial" w:eastAsia="DINPro" w:hAnsi="Arial" w:cs="Arial"/>
          <w:b/>
          <w:bCs/>
          <w:sz w:val="24"/>
          <w:szCs w:val="24"/>
          <w:lang w:val="et-EE"/>
        </w:rPr>
        <w:t xml:space="preserve">riigilõiv </w:t>
      </w:r>
      <w:r w:rsidR="006E346D">
        <w:rPr>
          <w:rFonts w:ascii="Arial" w:eastAsia="DINPro" w:hAnsi="Arial" w:cs="Arial"/>
          <w:b/>
          <w:bCs/>
          <w:sz w:val="24"/>
          <w:szCs w:val="24"/>
          <w:lang w:val="et-EE"/>
        </w:rPr>
        <w:t xml:space="preserve">olla </w:t>
      </w:r>
      <w:r w:rsidR="006E346D" w:rsidRPr="006E346D">
        <w:rPr>
          <w:rFonts w:ascii="Arial" w:eastAsia="DINPro" w:hAnsi="Arial" w:cs="Arial"/>
          <w:b/>
          <w:bCs/>
          <w:sz w:val="24"/>
          <w:szCs w:val="24"/>
          <w:lang w:val="et-EE"/>
        </w:rPr>
        <w:t>proportsioonis esitatud nõudega ehk tarbijavaidluskomisjoni pöördumise puhul võiks kehtida diferentseeritud riigilõiv.</w:t>
      </w:r>
    </w:p>
    <w:p w14:paraId="364DA46B" w14:textId="77777777" w:rsidR="00C43AAD" w:rsidRDefault="00C43AAD" w:rsidP="006B5C49">
      <w:pPr>
        <w:spacing w:after="0" w:line="240" w:lineRule="auto"/>
        <w:jc w:val="both"/>
        <w:rPr>
          <w:rFonts w:ascii="Arial" w:eastAsia="DINPro" w:hAnsi="Arial" w:cs="Arial"/>
          <w:b/>
          <w:bCs/>
          <w:sz w:val="24"/>
          <w:szCs w:val="24"/>
          <w:lang w:val="et-EE"/>
        </w:rPr>
      </w:pPr>
    </w:p>
    <w:p w14:paraId="691F538B" w14:textId="77777777" w:rsidR="009F5BF6" w:rsidRDefault="009F5BF6" w:rsidP="006B5C49">
      <w:pPr>
        <w:spacing w:after="0" w:line="240" w:lineRule="auto"/>
        <w:jc w:val="both"/>
        <w:rPr>
          <w:rFonts w:ascii="Arial" w:eastAsia="DINPro" w:hAnsi="Arial" w:cs="Arial"/>
          <w:b/>
          <w:bCs/>
          <w:sz w:val="24"/>
          <w:szCs w:val="24"/>
          <w:lang w:val="et-EE"/>
        </w:rPr>
      </w:pPr>
    </w:p>
    <w:p w14:paraId="10089363" w14:textId="6406A5AB" w:rsidR="009F5BF6" w:rsidRDefault="00A11C31" w:rsidP="009F5BF6">
      <w:pPr>
        <w:pStyle w:val="ListParagraph"/>
        <w:numPr>
          <w:ilvl w:val="0"/>
          <w:numId w:val="3"/>
        </w:numPr>
        <w:spacing w:after="0" w:line="240" w:lineRule="auto"/>
        <w:jc w:val="both"/>
        <w:rPr>
          <w:rFonts w:ascii="Arial" w:eastAsia="DINPro" w:hAnsi="Arial" w:cs="Arial"/>
          <w:b/>
          <w:bCs/>
          <w:sz w:val="24"/>
          <w:szCs w:val="24"/>
          <w:lang w:val="et-EE"/>
        </w:rPr>
      </w:pPr>
      <w:r w:rsidRPr="00A11C31">
        <w:rPr>
          <w:rFonts w:ascii="Arial" w:eastAsia="DINPro" w:hAnsi="Arial" w:cs="Arial"/>
          <w:b/>
          <w:bCs/>
          <w:sz w:val="24"/>
          <w:szCs w:val="24"/>
          <w:lang w:val="et-EE"/>
        </w:rPr>
        <w:t>Jõustunud otsuse avalikustamine</w:t>
      </w:r>
    </w:p>
    <w:p w14:paraId="35E5AA5C" w14:textId="3CFB04DB" w:rsidR="006B5C49" w:rsidRDefault="00A11C31" w:rsidP="006B5C4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 59 kohaselt </w:t>
      </w:r>
      <w:r w:rsidR="00A64FE6">
        <w:rPr>
          <w:rFonts w:ascii="Arial" w:eastAsia="DINPro" w:hAnsi="Arial" w:cs="Arial"/>
          <w:sz w:val="24"/>
          <w:szCs w:val="24"/>
          <w:lang w:val="et-EE"/>
        </w:rPr>
        <w:t xml:space="preserve">avalikustatakse jõustunud otsus </w:t>
      </w:r>
      <w:r w:rsidR="00A64FE6" w:rsidRPr="00A64FE6">
        <w:rPr>
          <w:rFonts w:ascii="Arial" w:eastAsia="DINPro" w:hAnsi="Arial" w:cs="Arial"/>
          <w:sz w:val="24"/>
          <w:szCs w:val="24"/>
          <w:lang w:val="et-EE"/>
        </w:rPr>
        <w:t>tsiviilkohtumenetluse seadustiku § 462 lõigetes 2–4 sätestatud tingimustel ja korras komisjoni veebilehel.</w:t>
      </w:r>
      <w:r w:rsidR="00A64FE6">
        <w:rPr>
          <w:rFonts w:ascii="Arial" w:eastAsia="DINPro" w:hAnsi="Arial" w:cs="Arial"/>
          <w:sz w:val="24"/>
          <w:szCs w:val="24"/>
          <w:lang w:val="et-EE"/>
        </w:rPr>
        <w:t xml:space="preserve"> Eelnõu seletuskirjas on täpsustatud, et </w:t>
      </w:r>
      <w:r w:rsidR="006307C1">
        <w:rPr>
          <w:rFonts w:ascii="Arial" w:eastAsia="DINPro" w:hAnsi="Arial" w:cs="Arial"/>
          <w:sz w:val="24"/>
          <w:szCs w:val="24"/>
          <w:lang w:val="et-EE"/>
        </w:rPr>
        <w:t>s</w:t>
      </w:r>
      <w:r w:rsidR="006307C1" w:rsidRPr="006307C1">
        <w:rPr>
          <w:rFonts w:ascii="Arial" w:eastAsia="DINPro" w:hAnsi="Arial" w:cs="Arial"/>
          <w:sz w:val="24"/>
          <w:szCs w:val="24"/>
          <w:lang w:val="et-EE"/>
        </w:rPr>
        <w:t>ätte kohaselt võib komisjon avalikustatavat otsust töödelda viisil, mille tulemusel ei ole otsusest võimalik tuvastada tarbija nime, isikukoodi või sünniaega ega aadressi.</w:t>
      </w:r>
      <w:r w:rsidR="006307C1">
        <w:rPr>
          <w:rFonts w:ascii="Arial" w:eastAsia="DINPro" w:hAnsi="Arial" w:cs="Arial"/>
          <w:sz w:val="24"/>
          <w:szCs w:val="24"/>
          <w:lang w:val="et-EE"/>
        </w:rPr>
        <w:t xml:space="preserve"> </w:t>
      </w:r>
    </w:p>
    <w:p w14:paraId="70B50282" w14:textId="77777777" w:rsidR="006307C1" w:rsidRDefault="006307C1" w:rsidP="00A64FE6">
      <w:pPr>
        <w:spacing w:after="0" w:line="240" w:lineRule="auto"/>
        <w:jc w:val="both"/>
        <w:rPr>
          <w:rFonts w:ascii="Arial" w:eastAsia="DINPro" w:hAnsi="Arial" w:cs="Arial"/>
          <w:sz w:val="24"/>
          <w:szCs w:val="24"/>
          <w:lang w:val="et-EE"/>
        </w:rPr>
      </w:pPr>
    </w:p>
    <w:p w14:paraId="098CA9EC" w14:textId="23D977D1" w:rsidR="00EC3635" w:rsidRPr="00A64FE6" w:rsidRDefault="00A679E6" w:rsidP="00A64FE6">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seletuskirjas on juttu üksnes tarbijast, kuid </w:t>
      </w:r>
      <w:proofErr w:type="spellStart"/>
      <w:r>
        <w:rPr>
          <w:rFonts w:ascii="Arial" w:eastAsia="DINPro" w:hAnsi="Arial" w:cs="Arial"/>
          <w:sz w:val="24"/>
          <w:szCs w:val="24"/>
          <w:lang w:val="et-EE"/>
        </w:rPr>
        <w:t>TsMS</w:t>
      </w:r>
      <w:proofErr w:type="spellEnd"/>
      <w:r>
        <w:rPr>
          <w:rFonts w:ascii="Arial" w:eastAsia="DINPro" w:hAnsi="Arial" w:cs="Arial"/>
          <w:sz w:val="24"/>
          <w:szCs w:val="24"/>
          <w:lang w:val="et-EE"/>
        </w:rPr>
        <w:t xml:space="preserve"> § 462 lg 2-4</w:t>
      </w:r>
      <w:r w:rsidR="0055301F">
        <w:rPr>
          <w:rFonts w:ascii="Arial" w:eastAsia="DINPro" w:hAnsi="Arial" w:cs="Arial"/>
          <w:sz w:val="24"/>
          <w:szCs w:val="24"/>
          <w:lang w:val="et-EE"/>
        </w:rPr>
        <w:t xml:space="preserve"> annab vastava õiguse ka kauplejale. </w:t>
      </w:r>
      <w:r w:rsidR="00EC3635">
        <w:rPr>
          <w:rFonts w:ascii="Arial" w:eastAsia="DINPro" w:hAnsi="Arial" w:cs="Arial"/>
          <w:sz w:val="24"/>
          <w:szCs w:val="24"/>
          <w:lang w:val="et-EE"/>
        </w:rPr>
        <w:t xml:space="preserve">Kaubanduskoja hinnangul tuleb eelnõu § 59 sätet täpsustada vastavalt eelnõu seletuskirjale, et oleks üheselt arusaadav ja selge, et antud võimalus kehtib ainult tarbijale. </w:t>
      </w:r>
    </w:p>
    <w:p w14:paraId="6B6458B7" w14:textId="5355ECDA" w:rsidR="00A22D81" w:rsidRPr="00EC3635" w:rsidRDefault="00EC3635" w:rsidP="00A22D81">
      <w:pPr>
        <w:spacing w:before="120" w:after="0" w:line="240" w:lineRule="auto"/>
        <w:jc w:val="both"/>
        <w:rPr>
          <w:rFonts w:ascii="Arial" w:eastAsia="DINPro" w:hAnsi="Arial" w:cs="Arial"/>
          <w:b/>
          <w:sz w:val="24"/>
          <w:szCs w:val="24"/>
          <w:u w:val="single"/>
          <w:lang w:val="et-EE"/>
        </w:rPr>
      </w:pPr>
      <w:r w:rsidRPr="00EC3635">
        <w:rPr>
          <w:rFonts w:ascii="Arial" w:eastAsia="DINPro" w:hAnsi="Arial" w:cs="Arial"/>
          <w:b/>
          <w:bCs/>
          <w:sz w:val="24"/>
          <w:szCs w:val="24"/>
          <w:u w:val="single"/>
          <w:lang w:val="et-EE"/>
        </w:rPr>
        <w:t>Kaubanduskoja seisukoht:</w:t>
      </w:r>
    </w:p>
    <w:p w14:paraId="2ED99E81" w14:textId="2283146B" w:rsidR="00EC3635" w:rsidRDefault="00E84666" w:rsidP="00A22D81">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Täpsustada eelnõu § 59 sõnastust vastavalt eelnõu seletuskirjale, et oleks üheselt arusaadav, et antud võimalus kehtib ainult tarbijale. </w:t>
      </w:r>
    </w:p>
    <w:p w14:paraId="2EEB3219" w14:textId="77777777" w:rsidR="000A364E" w:rsidRDefault="000A364E" w:rsidP="00E94F15">
      <w:pPr>
        <w:pStyle w:val="ListParagraph"/>
        <w:spacing w:before="120" w:after="0" w:line="240" w:lineRule="auto"/>
        <w:ind w:left="360"/>
        <w:jc w:val="both"/>
        <w:rPr>
          <w:rFonts w:ascii="Arial" w:eastAsia="DINPro" w:hAnsi="Arial" w:cs="Arial"/>
          <w:b/>
          <w:bCs/>
          <w:sz w:val="24"/>
          <w:szCs w:val="24"/>
          <w:lang w:val="et-EE"/>
        </w:rPr>
      </w:pPr>
    </w:p>
    <w:p w14:paraId="2C11F848" w14:textId="77777777" w:rsidR="000A364E" w:rsidRDefault="000A364E" w:rsidP="00E94F15">
      <w:pPr>
        <w:pStyle w:val="ListParagraph"/>
        <w:spacing w:before="120" w:after="0" w:line="240" w:lineRule="auto"/>
        <w:ind w:left="360"/>
        <w:jc w:val="both"/>
        <w:rPr>
          <w:rFonts w:ascii="Arial" w:eastAsia="DINPro" w:hAnsi="Arial" w:cs="Arial"/>
          <w:b/>
          <w:bCs/>
          <w:sz w:val="24"/>
          <w:szCs w:val="24"/>
          <w:lang w:val="et-EE"/>
        </w:rPr>
      </w:pPr>
    </w:p>
    <w:p w14:paraId="0F8EFDE9" w14:textId="1C34AE5D" w:rsidR="00B44AF7" w:rsidRDefault="00B44AF7" w:rsidP="00B44AF7">
      <w:pPr>
        <w:pStyle w:val="ListParagraph"/>
        <w:numPr>
          <w:ilvl w:val="0"/>
          <w:numId w:val="3"/>
        </w:num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Tarbijavaidl</w:t>
      </w:r>
      <w:r w:rsidR="003C1A61">
        <w:rPr>
          <w:rFonts w:ascii="Arial" w:eastAsia="DINPro" w:hAnsi="Arial" w:cs="Arial"/>
          <w:b/>
          <w:bCs/>
          <w:sz w:val="24"/>
          <w:szCs w:val="24"/>
          <w:lang w:val="et-EE"/>
        </w:rPr>
        <w:t>usasja menetlemise peatamine</w:t>
      </w:r>
    </w:p>
    <w:p w14:paraId="3A3EDA79" w14:textId="6DC32D27" w:rsidR="003C1A61" w:rsidRDefault="003C1A61" w:rsidP="007A7D52">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Eelnõu § 48</w:t>
      </w:r>
      <w:r>
        <w:rPr>
          <w:rFonts w:ascii="Arial" w:eastAsia="DINPro" w:hAnsi="Arial" w:cs="Arial"/>
          <w:sz w:val="24"/>
          <w:szCs w:val="24"/>
          <w:vertAlign w:val="superscript"/>
          <w:lang w:val="et-EE"/>
        </w:rPr>
        <w:t>3</w:t>
      </w:r>
      <w:r>
        <w:rPr>
          <w:rFonts w:ascii="Arial" w:eastAsia="DINPro" w:hAnsi="Arial" w:cs="Arial"/>
          <w:sz w:val="24"/>
          <w:szCs w:val="24"/>
          <w:lang w:val="et-EE"/>
        </w:rPr>
        <w:t xml:space="preserve"> kohaselt </w:t>
      </w:r>
      <w:r w:rsidR="00D61349">
        <w:rPr>
          <w:rFonts w:ascii="Arial" w:eastAsia="DINPro" w:hAnsi="Arial" w:cs="Arial"/>
          <w:sz w:val="24"/>
          <w:szCs w:val="24"/>
          <w:lang w:val="et-EE"/>
        </w:rPr>
        <w:t xml:space="preserve">kohaldatakse tarbijavaidlusasja menetlemise peatamisele </w:t>
      </w:r>
      <w:r w:rsidR="00E909F7">
        <w:rPr>
          <w:rFonts w:ascii="Arial" w:eastAsia="DINPro" w:hAnsi="Arial" w:cs="Arial"/>
          <w:sz w:val="24"/>
          <w:szCs w:val="24"/>
          <w:lang w:val="et-EE"/>
        </w:rPr>
        <w:t xml:space="preserve">tsiviilkohtumenetluse </w:t>
      </w:r>
      <w:r w:rsidR="00D61349" w:rsidRPr="00D61349">
        <w:rPr>
          <w:rFonts w:ascii="Arial" w:eastAsia="DINPro" w:hAnsi="Arial" w:cs="Arial"/>
          <w:sz w:val="24"/>
          <w:szCs w:val="24"/>
          <w:lang w:val="et-EE"/>
        </w:rPr>
        <w:t>seadustiku § 356 lõikeid 1 ja 2.</w:t>
      </w:r>
      <w:r w:rsidR="00FE37BD">
        <w:rPr>
          <w:rFonts w:ascii="Arial" w:eastAsia="DINPro" w:hAnsi="Arial" w:cs="Arial"/>
          <w:sz w:val="24"/>
          <w:szCs w:val="24"/>
          <w:lang w:val="et-EE"/>
        </w:rPr>
        <w:t xml:space="preserve"> Seega peatatakse tarbijavaidlusasja menetlus komisjonis juhtudel, kui </w:t>
      </w:r>
      <w:r w:rsidR="007A7D52" w:rsidRPr="007A7D52">
        <w:rPr>
          <w:rFonts w:ascii="Arial" w:eastAsia="DINPro" w:hAnsi="Arial" w:cs="Arial"/>
          <w:sz w:val="24"/>
          <w:szCs w:val="24"/>
          <w:lang w:val="et-EE"/>
        </w:rPr>
        <w:t>a) kui komisjoni otsus sõltub teise käimasoleva kohtumenetluse esemest; b) ajaks, kui lahendatakse Riigikohtu menetluses olevat põhiseaduslikkuse järelevalve asja, kui Riigikohtu otsus võib mõjutada tarbijavaidlusasjas kohaldamisele kuuluva õigusakti kehtivust.</w:t>
      </w:r>
      <w:r w:rsidR="007A7D52">
        <w:rPr>
          <w:rFonts w:ascii="Arial" w:eastAsia="DINPro" w:hAnsi="Arial" w:cs="Arial"/>
          <w:sz w:val="24"/>
          <w:szCs w:val="24"/>
          <w:lang w:val="et-EE"/>
        </w:rPr>
        <w:t xml:space="preserve"> Praktikas võib esineda aga ka teisi olukordi, mille käigus on vajalik </w:t>
      </w:r>
      <w:r w:rsidR="003B0C68">
        <w:rPr>
          <w:rFonts w:ascii="Arial" w:eastAsia="DINPro" w:hAnsi="Arial" w:cs="Arial"/>
          <w:sz w:val="24"/>
          <w:szCs w:val="24"/>
          <w:lang w:val="et-EE"/>
        </w:rPr>
        <w:t>tarbijavaidlusasja menetlus peatada. Näiteks võib tarbijavaidluskomisjon vaja</w:t>
      </w:r>
      <w:r w:rsidR="00B844F5">
        <w:rPr>
          <w:rFonts w:ascii="Arial" w:eastAsia="DINPro" w:hAnsi="Arial" w:cs="Arial"/>
          <w:sz w:val="24"/>
          <w:szCs w:val="24"/>
          <w:lang w:val="et-EE"/>
        </w:rPr>
        <w:t>da</w:t>
      </w:r>
      <w:r w:rsidR="003B0C68">
        <w:rPr>
          <w:rFonts w:ascii="Arial" w:eastAsia="DINPro" w:hAnsi="Arial" w:cs="Arial"/>
          <w:sz w:val="24"/>
          <w:szCs w:val="24"/>
          <w:lang w:val="et-EE"/>
        </w:rPr>
        <w:t xml:space="preserve"> teatud olukordades </w:t>
      </w:r>
      <w:r w:rsidR="00C40A39">
        <w:rPr>
          <w:rFonts w:ascii="Arial" w:eastAsia="DINPro" w:hAnsi="Arial" w:cs="Arial"/>
          <w:sz w:val="24"/>
          <w:szCs w:val="24"/>
          <w:lang w:val="et-EE"/>
        </w:rPr>
        <w:t xml:space="preserve">vaidluse lahendamiseks </w:t>
      </w:r>
      <w:r w:rsidR="003B0C68">
        <w:rPr>
          <w:rFonts w:ascii="Arial" w:eastAsia="DINPro" w:hAnsi="Arial" w:cs="Arial"/>
          <w:sz w:val="24"/>
          <w:szCs w:val="24"/>
          <w:lang w:val="et-EE"/>
        </w:rPr>
        <w:t xml:space="preserve">mõne organisatsiooni või ameti (nt </w:t>
      </w:r>
      <w:r w:rsidR="006D5E5E">
        <w:rPr>
          <w:rFonts w:ascii="Arial" w:eastAsia="DINPro" w:hAnsi="Arial" w:cs="Arial"/>
          <w:sz w:val="24"/>
          <w:szCs w:val="24"/>
          <w:lang w:val="et-EE"/>
        </w:rPr>
        <w:t>K</w:t>
      </w:r>
      <w:r w:rsidR="003B0C68">
        <w:rPr>
          <w:rFonts w:ascii="Arial" w:eastAsia="DINPro" w:hAnsi="Arial" w:cs="Arial"/>
          <w:sz w:val="24"/>
          <w:szCs w:val="24"/>
          <w:lang w:val="et-EE"/>
        </w:rPr>
        <w:t>onkurentsiamet)</w:t>
      </w:r>
      <w:r w:rsidR="006D5E5E">
        <w:rPr>
          <w:rFonts w:ascii="Arial" w:eastAsia="DINPro" w:hAnsi="Arial" w:cs="Arial"/>
          <w:sz w:val="24"/>
          <w:szCs w:val="24"/>
          <w:lang w:val="et-EE"/>
        </w:rPr>
        <w:t xml:space="preserve"> seisukohta</w:t>
      </w:r>
      <w:r w:rsidR="00765ADB">
        <w:rPr>
          <w:rFonts w:ascii="Arial" w:eastAsia="DINPro" w:hAnsi="Arial" w:cs="Arial"/>
          <w:sz w:val="24"/>
          <w:szCs w:val="24"/>
          <w:lang w:val="et-EE"/>
        </w:rPr>
        <w:t xml:space="preserve">, kelle pädevusse teatud asjaolude lahendamine </w:t>
      </w:r>
      <w:r w:rsidR="00B844F5">
        <w:rPr>
          <w:rFonts w:ascii="Arial" w:eastAsia="DINPro" w:hAnsi="Arial" w:cs="Arial"/>
          <w:sz w:val="24"/>
          <w:szCs w:val="24"/>
          <w:lang w:val="et-EE"/>
        </w:rPr>
        <w:t>kuulub</w:t>
      </w:r>
      <w:r w:rsidR="00765ADB">
        <w:rPr>
          <w:rFonts w:ascii="Arial" w:eastAsia="DINPro" w:hAnsi="Arial" w:cs="Arial"/>
          <w:sz w:val="24"/>
          <w:szCs w:val="24"/>
          <w:lang w:val="et-EE"/>
        </w:rPr>
        <w:t>,</w:t>
      </w:r>
      <w:r w:rsidR="007F050C">
        <w:rPr>
          <w:rFonts w:ascii="Arial" w:eastAsia="DINPro" w:hAnsi="Arial" w:cs="Arial"/>
          <w:sz w:val="24"/>
          <w:szCs w:val="24"/>
          <w:lang w:val="et-EE"/>
        </w:rPr>
        <w:t xml:space="preserve">. Kuna organisatsioonilt või ametilt seisukoha saamine võib võtta aega ja pidurdada tarbijavaidlusasja menetlemist, siis on oluline, et eelnõu näeks ette ka </w:t>
      </w:r>
      <w:r w:rsidR="00DF0E07">
        <w:rPr>
          <w:rFonts w:ascii="Arial" w:eastAsia="DINPro" w:hAnsi="Arial" w:cs="Arial"/>
          <w:sz w:val="24"/>
          <w:szCs w:val="24"/>
          <w:lang w:val="et-EE"/>
        </w:rPr>
        <w:t xml:space="preserve">võimaluse peatada tarbijavaidlusasja menetlemine sellistes olukordades. </w:t>
      </w:r>
    </w:p>
    <w:p w14:paraId="30B48D5D" w14:textId="77777777" w:rsidR="00765ADB" w:rsidRPr="00EC3635" w:rsidRDefault="00765ADB" w:rsidP="00765ADB">
      <w:pPr>
        <w:spacing w:before="120" w:after="0" w:line="240" w:lineRule="auto"/>
        <w:jc w:val="both"/>
        <w:rPr>
          <w:rFonts w:ascii="Arial" w:eastAsia="DINPro" w:hAnsi="Arial" w:cs="Arial"/>
          <w:b/>
          <w:bCs/>
          <w:sz w:val="24"/>
          <w:szCs w:val="24"/>
          <w:u w:val="single"/>
          <w:lang w:val="et-EE"/>
        </w:rPr>
      </w:pPr>
      <w:r w:rsidRPr="00EC3635">
        <w:rPr>
          <w:rFonts w:ascii="Arial" w:eastAsia="DINPro" w:hAnsi="Arial" w:cs="Arial"/>
          <w:b/>
          <w:bCs/>
          <w:sz w:val="24"/>
          <w:szCs w:val="24"/>
          <w:u w:val="single"/>
          <w:lang w:val="et-EE"/>
        </w:rPr>
        <w:t>Kaubanduskoja seisukoht:</w:t>
      </w:r>
    </w:p>
    <w:p w14:paraId="3F1BFF0D" w14:textId="0DAB7347" w:rsidR="00765ADB" w:rsidRPr="00765ADB" w:rsidRDefault="00765ADB" w:rsidP="007A7D52">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Näha eelnõus ette võimalus peatada tarbijavaidlusasja menetlemi</w:t>
      </w:r>
      <w:r w:rsidR="00D51278">
        <w:rPr>
          <w:rFonts w:ascii="Arial" w:eastAsia="DINPro" w:hAnsi="Arial" w:cs="Arial"/>
          <w:b/>
          <w:bCs/>
          <w:sz w:val="24"/>
          <w:szCs w:val="24"/>
          <w:lang w:val="et-EE"/>
        </w:rPr>
        <w:t xml:space="preserve">ne olukorras, kus TTJA komisjon ootab selgitusi </w:t>
      </w:r>
      <w:r w:rsidR="00972089" w:rsidRPr="00972089">
        <w:rPr>
          <w:rFonts w:ascii="Arial" w:eastAsia="DINPro" w:hAnsi="Arial" w:cs="Arial"/>
          <w:b/>
          <w:bCs/>
          <w:sz w:val="24"/>
          <w:szCs w:val="24"/>
          <w:lang w:val="et-EE"/>
        </w:rPr>
        <w:t>ametilt/organisatsioonilt, kelle pädevuses võib teatud asjaolu lahendamine</w:t>
      </w:r>
      <w:r w:rsidR="00972089">
        <w:rPr>
          <w:rFonts w:ascii="Arial" w:eastAsia="DINPro" w:hAnsi="Arial" w:cs="Arial"/>
          <w:b/>
          <w:bCs/>
          <w:sz w:val="24"/>
          <w:szCs w:val="24"/>
          <w:lang w:val="et-EE"/>
        </w:rPr>
        <w:t xml:space="preserve"> ning mille</w:t>
      </w:r>
      <w:r w:rsidR="00DE0FCE">
        <w:rPr>
          <w:rFonts w:ascii="Arial" w:eastAsia="DINPro" w:hAnsi="Arial" w:cs="Arial"/>
          <w:b/>
          <w:bCs/>
          <w:sz w:val="24"/>
          <w:szCs w:val="24"/>
          <w:lang w:val="et-EE"/>
        </w:rPr>
        <w:t xml:space="preserve"> välja selgitamine on tarbijavaidlusasja lahendamise seisukohalt oluline. </w:t>
      </w:r>
    </w:p>
    <w:p w14:paraId="489134A3" w14:textId="77777777" w:rsidR="009075FA" w:rsidRPr="00AA62A5" w:rsidRDefault="009075FA" w:rsidP="009075FA">
      <w:pPr>
        <w:spacing w:before="120" w:after="0" w:line="240" w:lineRule="auto"/>
        <w:jc w:val="both"/>
        <w:rPr>
          <w:rFonts w:ascii="Arial" w:eastAsia="DINPro" w:hAnsi="Arial" w:cs="Arial"/>
          <w:sz w:val="24"/>
          <w:szCs w:val="24"/>
          <w:lang w:val="et-EE"/>
        </w:rPr>
      </w:pPr>
    </w:p>
    <w:p w14:paraId="059D2B5C" w14:textId="77777777" w:rsidR="009075FA" w:rsidRPr="002F1E7F" w:rsidRDefault="009075FA" w:rsidP="009075F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7995093D" w14:textId="77777777" w:rsidR="009075FA" w:rsidRPr="002F1E7F" w:rsidRDefault="009075FA" w:rsidP="009075FA">
      <w:pPr>
        <w:spacing w:after="0" w:line="240" w:lineRule="auto"/>
        <w:rPr>
          <w:rFonts w:ascii="Arial" w:hAnsi="Arial" w:cs="Arial"/>
          <w:sz w:val="24"/>
          <w:szCs w:val="24"/>
          <w:lang w:val="et-EE" w:eastAsia="et-EE"/>
        </w:rPr>
      </w:pPr>
    </w:p>
    <w:p w14:paraId="6590586D" w14:textId="77777777" w:rsidR="009075FA" w:rsidRDefault="009075FA" w:rsidP="009075F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6D9D43C2" w14:textId="77777777" w:rsidR="009075FA" w:rsidRPr="002F1E7F" w:rsidRDefault="009075FA" w:rsidP="009075F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453D5479" w14:textId="77777777" w:rsidR="009075FA" w:rsidRPr="002F1E7F" w:rsidRDefault="009075FA" w:rsidP="009075F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5CDE8E7B" w14:textId="77777777" w:rsidR="009075FA" w:rsidRPr="002F1E7F" w:rsidRDefault="009075FA" w:rsidP="009075FA">
      <w:pPr>
        <w:spacing w:after="0" w:line="240" w:lineRule="auto"/>
        <w:rPr>
          <w:rFonts w:ascii="Arial" w:hAnsi="Arial" w:cs="Arial"/>
          <w:sz w:val="24"/>
          <w:szCs w:val="24"/>
          <w:lang w:val="et-EE" w:eastAsia="et-EE"/>
        </w:rPr>
      </w:pPr>
    </w:p>
    <w:p w14:paraId="610CED6F" w14:textId="77777777" w:rsidR="009075FA" w:rsidRPr="002F1E7F" w:rsidRDefault="009075FA" w:rsidP="009075FA">
      <w:pPr>
        <w:spacing w:after="0" w:line="240" w:lineRule="auto"/>
        <w:rPr>
          <w:rFonts w:ascii="Arial" w:hAnsi="Arial" w:cs="Arial"/>
          <w:sz w:val="24"/>
          <w:szCs w:val="24"/>
          <w:lang w:val="et-EE" w:eastAsia="et-EE"/>
        </w:rPr>
      </w:pPr>
    </w:p>
    <w:p w14:paraId="47FD929E" w14:textId="77777777" w:rsidR="009075FA" w:rsidRDefault="009075FA" w:rsidP="009075FA">
      <w:pPr>
        <w:spacing w:after="0" w:line="240" w:lineRule="auto"/>
        <w:rPr>
          <w:rFonts w:ascii="Arial" w:hAnsi="Arial" w:cs="Arial"/>
          <w:sz w:val="24"/>
          <w:szCs w:val="24"/>
          <w:lang w:val="et-EE" w:eastAsia="et-EE"/>
        </w:rPr>
      </w:pPr>
    </w:p>
    <w:p w14:paraId="65EE8253" w14:textId="77777777" w:rsidR="009075FA" w:rsidRDefault="009075FA" w:rsidP="009075FA">
      <w:pPr>
        <w:spacing w:after="0" w:line="240" w:lineRule="auto"/>
        <w:rPr>
          <w:rFonts w:ascii="Arial" w:hAnsi="Arial" w:cs="Arial"/>
          <w:sz w:val="24"/>
          <w:szCs w:val="24"/>
          <w:lang w:val="et-EE" w:eastAsia="et-EE"/>
        </w:rPr>
      </w:pPr>
    </w:p>
    <w:p w14:paraId="36426171" w14:textId="77777777" w:rsidR="009075FA" w:rsidRPr="002F1E7F" w:rsidRDefault="009075FA" w:rsidP="009075FA">
      <w:pPr>
        <w:spacing w:after="0" w:line="240" w:lineRule="auto"/>
        <w:rPr>
          <w:rFonts w:ascii="Arial" w:hAnsi="Arial" w:cs="Arial"/>
          <w:sz w:val="24"/>
          <w:szCs w:val="24"/>
          <w:lang w:val="et-EE" w:eastAsia="et-EE"/>
        </w:rPr>
      </w:pPr>
    </w:p>
    <w:p w14:paraId="2BA10212" w14:textId="77777777" w:rsidR="009075FA" w:rsidRPr="002F1E7F" w:rsidRDefault="009075FA" w:rsidP="009075FA">
      <w:pPr>
        <w:spacing w:after="0" w:line="240" w:lineRule="auto"/>
        <w:rPr>
          <w:rFonts w:ascii="Arial" w:hAnsi="Arial" w:cs="Arial"/>
          <w:sz w:val="24"/>
          <w:szCs w:val="24"/>
          <w:lang w:val="et-EE" w:eastAsia="et-EE"/>
        </w:rPr>
      </w:pPr>
    </w:p>
    <w:p w14:paraId="50AD4B25" w14:textId="77777777" w:rsidR="00252538" w:rsidRDefault="00252538" w:rsidP="009075FA">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Ireen Tarto </w:t>
      </w:r>
      <w:hyperlink r:id="rId9" w:history="1">
        <w:r w:rsidRPr="00401A01">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p w14:paraId="757652DA" w14:textId="28F640BC" w:rsidR="002E25D2" w:rsidRDefault="00252538">
      <w:r>
        <w:rPr>
          <w:rFonts w:ascii="Arial" w:hAnsi="Arial" w:cs="Arial"/>
          <w:sz w:val="24"/>
          <w:szCs w:val="24"/>
          <w:lang w:val="et-EE" w:eastAsia="et-EE"/>
        </w:rPr>
        <w:t>Ana</w:t>
      </w:r>
      <w:r w:rsidR="00CA6B15">
        <w:rPr>
          <w:rFonts w:ascii="Arial" w:hAnsi="Arial" w:cs="Arial"/>
          <w:sz w:val="24"/>
          <w:szCs w:val="24"/>
          <w:lang w:val="et-EE" w:eastAsia="et-EE"/>
        </w:rPr>
        <w:t xml:space="preserve">stasia </w:t>
      </w:r>
      <w:proofErr w:type="spellStart"/>
      <w:r w:rsidR="00CA6B15">
        <w:rPr>
          <w:rFonts w:ascii="Arial" w:hAnsi="Arial" w:cs="Arial"/>
          <w:sz w:val="24"/>
          <w:szCs w:val="24"/>
          <w:lang w:val="et-EE" w:eastAsia="et-EE"/>
        </w:rPr>
        <w:t>Nezgovrova</w:t>
      </w:r>
      <w:proofErr w:type="spellEnd"/>
      <w:r w:rsidR="00B26B96">
        <w:rPr>
          <w:rFonts w:ascii="Arial" w:hAnsi="Arial" w:cs="Arial"/>
          <w:sz w:val="24"/>
          <w:szCs w:val="24"/>
          <w:lang w:val="et-EE" w:eastAsia="et-EE"/>
        </w:rPr>
        <w:t xml:space="preserve"> </w:t>
      </w:r>
      <w:hyperlink r:id="rId10" w:history="1">
        <w:r w:rsidR="00BC1177" w:rsidRPr="00E627E4">
          <w:rPr>
            <w:rStyle w:val="Hyperlink"/>
            <w:rFonts w:ascii="Arial" w:hAnsi="Arial" w:cs="Arial"/>
            <w:sz w:val="24"/>
            <w:szCs w:val="24"/>
            <w:lang w:val="et-EE" w:eastAsia="et-EE"/>
          </w:rPr>
          <w:t>Anastasia.Nezgovorova@koda.ee</w:t>
        </w:r>
      </w:hyperlink>
      <w:r w:rsidR="00BC1177">
        <w:rPr>
          <w:rFonts w:ascii="Arial" w:hAnsi="Arial" w:cs="Arial"/>
          <w:sz w:val="24"/>
          <w:szCs w:val="24"/>
          <w:lang w:val="et-EE" w:eastAsia="et-EE"/>
        </w:rPr>
        <w:t xml:space="preserve"> </w:t>
      </w:r>
      <w:r w:rsidR="00CA6B15">
        <w:rPr>
          <w:rFonts w:ascii="Arial" w:hAnsi="Arial" w:cs="Arial"/>
          <w:sz w:val="24"/>
          <w:szCs w:val="24"/>
          <w:lang w:val="et-EE" w:eastAsia="et-EE"/>
        </w:rPr>
        <w:t xml:space="preserve"> </w:t>
      </w:r>
    </w:p>
    <w:sectPr w:rsidR="002E25D2" w:rsidSect="00B67DFE">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F637" w14:textId="77777777" w:rsidR="00B67DFE" w:rsidRDefault="00B67DFE" w:rsidP="00A22D81">
      <w:pPr>
        <w:spacing w:after="0" w:line="240" w:lineRule="auto"/>
      </w:pPr>
      <w:r>
        <w:separator/>
      </w:r>
    </w:p>
  </w:endnote>
  <w:endnote w:type="continuationSeparator" w:id="0">
    <w:p w14:paraId="2FAD3BD9" w14:textId="77777777" w:rsidR="00B67DFE" w:rsidRDefault="00B67DFE" w:rsidP="00A22D81">
      <w:pPr>
        <w:spacing w:after="0" w:line="240" w:lineRule="auto"/>
      </w:pPr>
      <w:r>
        <w:continuationSeparator/>
      </w:r>
    </w:p>
  </w:endnote>
  <w:endnote w:type="continuationNotice" w:id="1">
    <w:p w14:paraId="0EFA133B" w14:textId="77777777" w:rsidR="00B67DFE" w:rsidRDefault="00B67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Pro">
    <w:panose1 w:val="020B0504020101020102"/>
    <w:charset w:val="00"/>
    <w:family w:val="swiss"/>
    <w:notTrueType/>
    <w:pitch w:val="variable"/>
    <w:sig w:usb0="A00002BF" w:usb1="4000207B" w:usb2="00000008"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84DA" w14:textId="77777777" w:rsidR="004D5765" w:rsidRPr="00FF0918" w:rsidRDefault="004D5765" w:rsidP="001069C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7DA793A1" w14:textId="77777777" w:rsidR="004D5765" w:rsidRPr="00FF0918" w:rsidRDefault="004D5765">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7056" w14:textId="77777777" w:rsidR="004D5765" w:rsidRPr="00BF3929" w:rsidRDefault="004D5765" w:rsidP="001069CF">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31C46511" w14:textId="77777777" w:rsidR="004D5765" w:rsidRPr="00BF3929" w:rsidRDefault="004D5765" w:rsidP="001069CF">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F2AD" w14:textId="77777777" w:rsidR="00B67DFE" w:rsidRDefault="00B67DFE" w:rsidP="00A22D81">
      <w:pPr>
        <w:spacing w:after="0" w:line="240" w:lineRule="auto"/>
      </w:pPr>
      <w:r>
        <w:separator/>
      </w:r>
    </w:p>
  </w:footnote>
  <w:footnote w:type="continuationSeparator" w:id="0">
    <w:p w14:paraId="270C1429" w14:textId="77777777" w:rsidR="00B67DFE" w:rsidRDefault="00B67DFE" w:rsidP="00A22D81">
      <w:pPr>
        <w:spacing w:after="0" w:line="240" w:lineRule="auto"/>
      </w:pPr>
      <w:r>
        <w:continuationSeparator/>
      </w:r>
    </w:p>
  </w:footnote>
  <w:footnote w:type="continuationNotice" w:id="1">
    <w:p w14:paraId="40F4C420" w14:textId="77777777" w:rsidR="00B67DFE" w:rsidRDefault="00B67DFE">
      <w:pPr>
        <w:spacing w:after="0" w:line="240" w:lineRule="auto"/>
      </w:pPr>
    </w:p>
  </w:footnote>
  <w:footnote w:id="2">
    <w:p w14:paraId="11B6EA0A" w14:textId="77777777" w:rsidR="00A22D81" w:rsidRPr="0052364C" w:rsidRDefault="00A22D81" w:rsidP="00A22D81">
      <w:pPr>
        <w:pStyle w:val="FootnoteText"/>
        <w:rPr>
          <w:lang w:val="et-EE"/>
        </w:rPr>
      </w:pPr>
      <w:r>
        <w:rPr>
          <w:rStyle w:val="FootnoteReference"/>
        </w:rPr>
        <w:footnoteRef/>
      </w:r>
      <w:r>
        <w:t xml:space="preserve"> </w:t>
      </w:r>
      <w:r w:rsidRPr="00FE1A4D">
        <w:rPr>
          <w:sz w:val="16"/>
          <w:szCs w:val="16"/>
        </w:rPr>
        <w:t xml:space="preserve">E&amp;Y (2019). </w:t>
      </w:r>
      <w:proofErr w:type="spellStart"/>
      <w:r w:rsidRPr="00FE1A4D">
        <w:rPr>
          <w:sz w:val="16"/>
          <w:szCs w:val="16"/>
        </w:rPr>
        <w:t>Tarbijavaidluste</w:t>
      </w:r>
      <w:proofErr w:type="spellEnd"/>
      <w:r w:rsidRPr="00FE1A4D">
        <w:rPr>
          <w:sz w:val="16"/>
          <w:szCs w:val="16"/>
        </w:rPr>
        <w:t xml:space="preserve"> </w:t>
      </w:r>
      <w:proofErr w:type="spellStart"/>
      <w:r w:rsidRPr="00FE1A4D">
        <w:rPr>
          <w:sz w:val="16"/>
          <w:szCs w:val="16"/>
        </w:rPr>
        <w:t>kohtuvälise</w:t>
      </w:r>
      <w:proofErr w:type="spellEnd"/>
      <w:r w:rsidRPr="00FE1A4D">
        <w:rPr>
          <w:sz w:val="16"/>
          <w:szCs w:val="16"/>
        </w:rPr>
        <w:t xml:space="preserve"> </w:t>
      </w:r>
      <w:proofErr w:type="spellStart"/>
      <w:r w:rsidRPr="00FE1A4D">
        <w:rPr>
          <w:sz w:val="16"/>
          <w:szCs w:val="16"/>
        </w:rPr>
        <w:t>lahendamise</w:t>
      </w:r>
      <w:proofErr w:type="spellEnd"/>
      <w:r w:rsidRPr="00FE1A4D">
        <w:rPr>
          <w:sz w:val="16"/>
          <w:szCs w:val="16"/>
        </w:rPr>
        <w:t xml:space="preserve"> </w:t>
      </w:r>
      <w:proofErr w:type="spellStart"/>
      <w:r w:rsidRPr="00FE1A4D">
        <w:rPr>
          <w:sz w:val="16"/>
          <w:szCs w:val="16"/>
        </w:rPr>
        <w:t>võimalikud</w:t>
      </w:r>
      <w:proofErr w:type="spellEnd"/>
      <w:r w:rsidRPr="00FE1A4D">
        <w:rPr>
          <w:sz w:val="16"/>
          <w:szCs w:val="16"/>
        </w:rPr>
        <w:t xml:space="preserve"> </w:t>
      </w:r>
      <w:proofErr w:type="spellStart"/>
      <w:r w:rsidRPr="00FE1A4D">
        <w:rPr>
          <w:sz w:val="16"/>
          <w:szCs w:val="16"/>
        </w:rPr>
        <w:t>mudelid</w:t>
      </w:r>
      <w:proofErr w:type="spellEnd"/>
      <w:r w:rsidRPr="00FE1A4D">
        <w:rPr>
          <w:sz w:val="16"/>
          <w:szCs w:val="16"/>
        </w:rPr>
        <w:t xml:space="preserve"> </w:t>
      </w:r>
      <w:proofErr w:type="spellStart"/>
      <w:r w:rsidRPr="00FE1A4D">
        <w:rPr>
          <w:sz w:val="16"/>
          <w:szCs w:val="16"/>
        </w:rPr>
        <w:t>Eestis</w:t>
      </w:r>
      <w:proofErr w:type="spellEnd"/>
      <w:r w:rsidRPr="00FE1A4D">
        <w:rPr>
          <w:sz w:val="16"/>
          <w:szCs w:val="16"/>
        </w:rPr>
        <w:t xml:space="preserve"> – </w:t>
      </w:r>
      <w:proofErr w:type="spellStart"/>
      <w:r w:rsidRPr="00FE1A4D">
        <w:rPr>
          <w:sz w:val="16"/>
          <w:szCs w:val="16"/>
        </w:rPr>
        <w:t>lõpparuanne</w:t>
      </w:r>
      <w:proofErr w:type="spellEnd"/>
      <w:r w:rsidRPr="00FE1A4D">
        <w:rPr>
          <w:sz w:val="16"/>
          <w:szCs w:val="16"/>
        </w:rPr>
        <w:t>, 17.12.2019</w:t>
      </w:r>
      <w:r>
        <w:rPr>
          <w:sz w:val="16"/>
          <w:szCs w:val="16"/>
        </w:rPr>
        <w:t>,</w:t>
      </w:r>
      <w:r w:rsidRPr="00FE1A4D">
        <w:rPr>
          <w:sz w:val="16"/>
          <w:szCs w:val="16"/>
        </w:rPr>
        <w:t xml:space="preserve"> </w:t>
      </w:r>
      <w:proofErr w:type="spellStart"/>
      <w:r w:rsidRPr="00FE1A4D">
        <w:rPr>
          <w:sz w:val="16"/>
          <w:szCs w:val="16"/>
        </w:rPr>
        <w:t>lk</w:t>
      </w:r>
      <w:proofErr w:type="spellEnd"/>
      <w:r w:rsidRPr="00FE1A4D">
        <w:rPr>
          <w:sz w:val="16"/>
          <w:szCs w:val="16"/>
        </w:rPr>
        <w:t xml:space="preserve"> 3</w:t>
      </w:r>
      <w:r>
        <w:rPr>
          <w:sz w:val="16"/>
          <w:szCs w:val="16"/>
        </w:rPr>
        <w:t>6.</w:t>
      </w:r>
    </w:p>
  </w:footnote>
  <w:footnote w:id="3">
    <w:p w14:paraId="163DADBF" w14:textId="02EEA744" w:rsidR="00A072CE" w:rsidRPr="00A072CE" w:rsidRDefault="00A072CE">
      <w:pPr>
        <w:pStyle w:val="FootnoteText"/>
        <w:rPr>
          <w:lang w:val="et-EE"/>
        </w:rPr>
      </w:pPr>
      <w:r>
        <w:rPr>
          <w:rStyle w:val="FootnoteReference"/>
        </w:rPr>
        <w:footnoteRef/>
      </w:r>
      <w:r>
        <w:t xml:space="preserve"> </w:t>
      </w:r>
      <w:hyperlink r:id="rId1" w:history="1">
        <w:proofErr w:type="spellStart"/>
        <w:r w:rsidR="001111DB" w:rsidRPr="001111DB">
          <w:rPr>
            <w:rStyle w:val="Hyperlink"/>
          </w:rPr>
          <w:t>Sissetulek</w:t>
        </w:r>
        <w:proofErr w:type="spellEnd"/>
        <w:r w:rsidR="001111DB" w:rsidRPr="001111DB">
          <w:rPr>
            <w:rStyle w:val="Hyperlink"/>
          </w:rPr>
          <w:t xml:space="preserve"> | </w:t>
        </w:r>
        <w:proofErr w:type="spellStart"/>
        <w:r w:rsidR="001111DB" w:rsidRPr="001111DB">
          <w:rPr>
            <w:rStyle w:val="Hyperlink"/>
          </w:rPr>
          <w:t>Statistikaamet</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6877" w14:textId="77777777" w:rsidR="004D5765" w:rsidRDefault="004D5765" w:rsidP="001069CF">
    <w:pPr>
      <w:pStyle w:val="Header"/>
    </w:pPr>
    <w:r w:rsidRPr="00D30DF8">
      <w:rPr>
        <w:noProof/>
        <w:lang w:val="et-EE" w:eastAsia="et-EE"/>
      </w:rPr>
      <w:drawing>
        <wp:anchor distT="0" distB="0" distL="114300" distR="114300" simplePos="0" relativeHeight="251658243" behindDoc="0" locked="0" layoutInCell="1" allowOverlap="1" wp14:anchorId="21D37110" wp14:editId="47A53F50">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297ACB5D" wp14:editId="66D86674">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6F1B4C"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5FA47EB6" w14:textId="77777777" w:rsidR="004D5765" w:rsidRPr="00C0691C" w:rsidRDefault="004D5765" w:rsidP="00106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D0F2" w14:textId="77777777" w:rsidR="004D5765" w:rsidRDefault="004D5765">
    <w:pPr>
      <w:pStyle w:val="Header"/>
    </w:pPr>
    <w:r w:rsidRPr="00D30DF8">
      <w:rPr>
        <w:noProof/>
        <w:lang w:val="et-EE" w:eastAsia="et-EE"/>
      </w:rPr>
      <w:drawing>
        <wp:anchor distT="0" distB="0" distL="114300" distR="114300" simplePos="0" relativeHeight="251658242" behindDoc="0" locked="0" layoutInCell="1" allowOverlap="1" wp14:anchorId="16DF6EC6" wp14:editId="14A9545C">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3F160A44" wp14:editId="4B94990F">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CED9D"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088"/>
    <w:multiLevelType w:val="hybridMultilevel"/>
    <w:tmpl w:val="15746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121EE2"/>
    <w:multiLevelType w:val="multilevel"/>
    <w:tmpl w:val="9774CF9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472AA"/>
    <w:multiLevelType w:val="hybridMultilevel"/>
    <w:tmpl w:val="ADF646E0"/>
    <w:lvl w:ilvl="0" w:tplc="B6D0CC7E">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51E50D29"/>
    <w:multiLevelType w:val="multilevel"/>
    <w:tmpl w:val="14D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D32FE"/>
    <w:multiLevelType w:val="multilevel"/>
    <w:tmpl w:val="2314287C"/>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6E0F7A1D"/>
    <w:multiLevelType w:val="hybridMultilevel"/>
    <w:tmpl w:val="C5FC06A6"/>
    <w:lvl w:ilvl="0" w:tplc="04250001">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E3C3A43"/>
    <w:multiLevelType w:val="hybridMultilevel"/>
    <w:tmpl w:val="BBF2A9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4979827">
    <w:abstractNumId w:val="6"/>
  </w:num>
  <w:num w:numId="2" w16cid:durableId="633415942">
    <w:abstractNumId w:val="3"/>
  </w:num>
  <w:num w:numId="3" w16cid:durableId="1310745024">
    <w:abstractNumId w:val="4"/>
  </w:num>
  <w:num w:numId="4" w16cid:durableId="869104298">
    <w:abstractNumId w:val="5"/>
  </w:num>
  <w:num w:numId="5" w16cid:durableId="498732840">
    <w:abstractNumId w:val="0"/>
  </w:num>
  <w:num w:numId="6" w16cid:durableId="711004679">
    <w:abstractNumId w:val="1"/>
  </w:num>
  <w:num w:numId="7" w16cid:durableId="102262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FA"/>
    <w:rsid w:val="00035606"/>
    <w:rsid w:val="0003572E"/>
    <w:rsid w:val="000367EC"/>
    <w:rsid w:val="00064981"/>
    <w:rsid w:val="0006699A"/>
    <w:rsid w:val="000A363A"/>
    <w:rsid w:val="000A364E"/>
    <w:rsid w:val="000B4DFC"/>
    <w:rsid w:val="000B5784"/>
    <w:rsid w:val="000C5E26"/>
    <w:rsid w:val="000C757B"/>
    <w:rsid w:val="000D33DE"/>
    <w:rsid w:val="00102271"/>
    <w:rsid w:val="001069CF"/>
    <w:rsid w:val="001111DB"/>
    <w:rsid w:val="001169A9"/>
    <w:rsid w:val="00120E0E"/>
    <w:rsid w:val="00121729"/>
    <w:rsid w:val="00131BF2"/>
    <w:rsid w:val="00136C5C"/>
    <w:rsid w:val="001425CF"/>
    <w:rsid w:val="00143998"/>
    <w:rsid w:val="001600A6"/>
    <w:rsid w:val="00165DF1"/>
    <w:rsid w:val="00197752"/>
    <w:rsid w:val="001B0E47"/>
    <w:rsid w:val="001B129B"/>
    <w:rsid w:val="001B41C7"/>
    <w:rsid w:val="001B736F"/>
    <w:rsid w:val="001C2AE7"/>
    <w:rsid w:val="001C36C6"/>
    <w:rsid w:val="001D0A1E"/>
    <w:rsid w:val="001E12FB"/>
    <w:rsid w:val="00203290"/>
    <w:rsid w:val="00205DE2"/>
    <w:rsid w:val="00213816"/>
    <w:rsid w:val="00241418"/>
    <w:rsid w:val="00242642"/>
    <w:rsid w:val="00244CA8"/>
    <w:rsid w:val="00246D8E"/>
    <w:rsid w:val="00252538"/>
    <w:rsid w:val="00262C27"/>
    <w:rsid w:val="00267BE4"/>
    <w:rsid w:val="00293FC6"/>
    <w:rsid w:val="00297B78"/>
    <w:rsid w:val="002B059B"/>
    <w:rsid w:val="002C1C75"/>
    <w:rsid w:val="002D2074"/>
    <w:rsid w:val="002E25D2"/>
    <w:rsid w:val="002E4347"/>
    <w:rsid w:val="002E511B"/>
    <w:rsid w:val="002E7E5A"/>
    <w:rsid w:val="00303ADF"/>
    <w:rsid w:val="0031483F"/>
    <w:rsid w:val="00315DC6"/>
    <w:rsid w:val="003501D3"/>
    <w:rsid w:val="0035430A"/>
    <w:rsid w:val="003619A5"/>
    <w:rsid w:val="00371621"/>
    <w:rsid w:val="003A01A8"/>
    <w:rsid w:val="003A4690"/>
    <w:rsid w:val="003A4A2C"/>
    <w:rsid w:val="003B0C68"/>
    <w:rsid w:val="003C1A61"/>
    <w:rsid w:val="003C3DFF"/>
    <w:rsid w:val="003D0D59"/>
    <w:rsid w:val="003E111D"/>
    <w:rsid w:val="003F1937"/>
    <w:rsid w:val="003F5394"/>
    <w:rsid w:val="0040198F"/>
    <w:rsid w:val="00406A98"/>
    <w:rsid w:val="00411B4B"/>
    <w:rsid w:val="00416423"/>
    <w:rsid w:val="00463F2D"/>
    <w:rsid w:val="00465006"/>
    <w:rsid w:val="00487541"/>
    <w:rsid w:val="00491E77"/>
    <w:rsid w:val="004A0E15"/>
    <w:rsid w:val="004A6A2C"/>
    <w:rsid w:val="004A782B"/>
    <w:rsid w:val="004D5765"/>
    <w:rsid w:val="004E0E75"/>
    <w:rsid w:val="004E7515"/>
    <w:rsid w:val="004F17E1"/>
    <w:rsid w:val="004F200B"/>
    <w:rsid w:val="004F56D0"/>
    <w:rsid w:val="00505F20"/>
    <w:rsid w:val="00531FF0"/>
    <w:rsid w:val="005342E8"/>
    <w:rsid w:val="005347D5"/>
    <w:rsid w:val="00543A3F"/>
    <w:rsid w:val="0055301F"/>
    <w:rsid w:val="0056203B"/>
    <w:rsid w:val="005720E3"/>
    <w:rsid w:val="005923F0"/>
    <w:rsid w:val="00594A3C"/>
    <w:rsid w:val="005A4DFC"/>
    <w:rsid w:val="005B0217"/>
    <w:rsid w:val="005B6EF5"/>
    <w:rsid w:val="005C2BBA"/>
    <w:rsid w:val="005D5F21"/>
    <w:rsid w:val="005D7E29"/>
    <w:rsid w:val="00610E35"/>
    <w:rsid w:val="006153E3"/>
    <w:rsid w:val="00620BF0"/>
    <w:rsid w:val="00622F53"/>
    <w:rsid w:val="006307C1"/>
    <w:rsid w:val="00642130"/>
    <w:rsid w:val="00650810"/>
    <w:rsid w:val="006546B6"/>
    <w:rsid w:val="006622BA"/>
    <w:rsid w:val="00667CFF"/>
    <w:rsid w:val="00670075"/>
    <w:rsid w:val="006750A4"/>
    <w:rsid w:val="00686FC0"/>
    <w:rsid w:val="006902E0"/>
    <w:rsid w:val="00695A95"/>
    <w:rsid w:val="00696846"/>
    <w:rsid w:val="006B5C49"/>
    <w:rsid w:val="006C1035"/>
    <w:rsid w:val="006C27D7"/>
    <w:rsid w:val="006C67B8"/>
    <w:rsid w:val="006D5E5E"/>
    <w:rsid w:val="006D768C"/>
    <w:rsid w:val="006E346D"/>
    <w:rsid w:val="006E61E4"/>
    <w:rsid w:val="00702218"/>
    <w:rsid w:val="00703BC3"/>
    <w:rsid w:val="00713C91"/>
    <w:rsid w:val="00742ED9"/>
    <w:rsid w:val="00765ADB"/>
    <w:rsid w:val="00776ABC"/>
    <w:rsid w:val="00777A6B"/>
    <w:rsid w:val="00777E25"/>
    <w:rsid w:val="007A7D52"/>
    <w:rsid w:val="007C7120"/>
    <w:rsid w:val="007F050C"/>
    <w:rsid w:val="008008AC"/>
    <w:rsid w:val="00801418"/>
    <w:rsid w:val="00805441"/>
    <w:rsid w:val="008275AE"/>
    <w:rsid w:val="00831881"/>
    <w:rsid w:val="0083199C"/>
    <w:rsid w:val="00863E41"/>
    <w:rsid w:val="008665F5"/>
    <w:rsid w:val="00890D19"/>
    <w:rsid w:val="00892A0F"/>
    <w:rsid w:val="008B2468"/>
    <w:rsid w:val="008C3DB2"/>
    <w:rsid w:val="008D053E"/>
    <w:rsid w:val="008D7FC4"/>
    <w:rsid w:val="009048AB"/>
    <w:rsid w:val="009075FA"/>
    <w:rsid w:val="0095471D"/>
    <w:rsid w:val="009625FE"/>
    <w:rsid w:val="00972089"/>
    <w:rsid w:val="0099034F"/>
    <w:rsid w:val="00990ABB"/>
    <w:rsid w:val="009C307C"/>
    <w:rsid w:val="009D036E"/>
    <w:rsid w:val="009E0672"/>
    <w:rsid w:val="009E5324"/>
    <w:rsid w:val="009F5BF6"/>
    <w:rsid w:val="009F655F"/>
    <w:rsid w:val="00A00001"/>
    <w:rsid w:val="00A01105"/>
    <w:rsid w:val="00A072CE"/>
    <w:rsid w:val="00A11C31"/>
    <w:rsid w:val="00A2161C"/>
    <w:rsid w:val="00A22D81"/>
    <w:rsid w:val="00A33817"/>
    <w:rsid w:val="00A44AD4"/>
    <w:rsid w:val="00A64FE6"/>
    <w:rsid w:val="00A679E6"/>
    <w:rsid w:val="00A82CFE"/>
    <w:rsid w:val="00A83C45"/>
    <w:rsid w:val="00A96682"/>
    <w:rsid w:val="00AB099C"/>
    <w:rsid w:val="00AF6BE8"/>
    <w:rsid w:val="00B02356"/>
    <w:rsid w:val="00B059FC"/>
    <w:rsid w:val="00B05ABD"/>
    <w:rsid w:val="00B1064B"/>
    <w:rsid w:val="00B177A5"/>
    <w:rsid w:val="00B20EE4"/>
    <w:rsid w:val="00B266FD"/>
    <w:rsid w:val="00B26B96"/>
    <w:rsid w:val="00B3214E"/>
    <w:rsid w:val="00B44AF7"/>
    <w:rsid w:val="00B559ED"/>
    <w:rsid w:val="00B65FDA"/>
    <w:rsid w:val="00B67DFE"/>
    <w:rsid w:val="00B722B3"/>
    <w:rsid w:val="00B77231"/>
    <w:rsid w:val="00B82F50"/>
    <w:rsid w:val="00B844F5"/>
    <w:rsid w:val="00BA075D"/>
    <w:rsid w:val="00BB21B3"/>
    <w:rsid w:val="00BB2E1B"/>
    <w:rsid w:val="00BC1177"/>
    <w:rsid w:val="00BD4FCE"/>
    <w:rsid w:val="00BE1EAA"/>
    <w:rsid w:val="00BE53F1"/>
    <w:rsid w:val="00C12250"/>
    <w:rsid w:val="00C26FFA"/>
    <w:rsid w:val="00C30D4A"/>
    <w:rsid w:val="00C40A39"/>
    <w:rsid w:val="00C43AAD"/>
    <w:rsid w:val="00C43E5D"/>
    <w:rsid w:val="00C47148"/>
    <w:rsid w:val="00C60854"/>
    <w:rsid w:val="00C613F5"/>
    <w:rsid w:val="00C916DD"/>
    <w:rsid w:val="00CA6B15"/>
    <w:rsid w:val="00CB51A1"/>
    <w:rsid w:val="00CD7817"/>
    <w:rsid w:val="00CE373C"/>
    <w:rsid w:val="00CE542A"/>
    <w:rsid w:val="00D16C8B"/>
    <w:rsid w:val="00D21AD0"/>
    <w:rsid w:val="00D2754A"/>
    <w:rsid w:val="00D3294E"/>
    <w:rsid w:val="00D44516"/>
    <w:rsid w:val="00D462C9"/>
    <w:rsid w:val="00D51278"/>
    <w:rsid w:val="00D61349"/>
    <w:rsid w:val="00D733BC"/>
    <w:rsid w:val="00D772AD"/>
    <w:rsid w:val="00D777BA"/>
    <w:rsid w:val="00D80A3B"/>
    <w:rsid w:val="00D9724D"/>
    <w:rsid w:val="00DB71F9"/>
    <w:rsid w:val="00DB7F99"/>
    <w:rsid w:val="00DE0FCE"/>
    <w:rsid w:val="00DE52E1"/>
    <w:rsid w:val="00DF0E07"/>
    <w:rsid w:val="00DF24C2"/>
    <w:rsid w:val="00DF259A"/>
    <w:rsid w:val="00E14CB0"/>
    <w:rsid w:val="00E15C3F"/>
    <w:rsid w:val="00E15C47"/>
    <w:rsid w:val="00E21317"/>
    <w:rsid w:val="00E23460"/>
    <w:rsid w:val="00E2483C"/>
    <w:rsid w:val="00E60738"/>
    <w:rsid w:val="00E71528"/>
    <w:rsid w:val="00E75A52"/>
    <w:rsid w:val="00E80275"/>
    <w:rsid w:val="00E84666"/>
    <w:rsid w:val="00E902D5"/>
    <w:rsid w:val="00E909F7"/>
    <w:rsid w:val="00E939A4"/>
    <w:rsid w:val="00E94F15"/>
    <w:rsid w:val="00EC3635"/>
    <w:rsid w:val="00EF1C15"/>
    <w:rsid w:val="00F113DB"/>
    <w:rsid w:val="00F11435"/>
    <w:rsid w:val="00F146AB"/>
    <w:rsid w:val="00F24517"/>
    <w:rsid w:val="00F25984"/>
    <w:rsid w:val="00F36BF7"/>
    <w:rsid w:val="00F579C5"/>
    <w:rsid w:val="00F73E39"/>
    <w:rsid w:val="00F73E6D"/>
    <w:rsid w:val="00F945C2"/>
    <w:rsid w:val="00F9615E"/>
    <w:rsid w:val="00F97E13"/>
    <w:rsid w:val="00FB5371"/>
    <w:rsid w:val="00FC05CF"/>
    <w:rsid w:val="00FD5C6D"/>
    <w:rsid w:val="00FE37BD"/>
    <w:rsid w:val="00FE7443"/>
    <w:rsid w:val="00FE7818"/>
    <w:rsid w:val="00FF1C62"/>
    <w:rsid w:val="00FF3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1B06"/>
  <w15:chartTrackingRefBased/>
  <w15:docId w15:val="{D0392682-73F6-43A7-8CEF-EB0FAED3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FA"/>
    <w:rPr>
      <w:kern w:val="0"/>
      <w14:ligatures w14:val="none"/>
    </w:rPr>
  </w:style>
  <w:style w:type="paragraph" w:styleId="Heading1">
    <w:name w:val="heading 1"/>
    <w:basedOn w:val="Normal"/>
    <w:next w:val="Normal"/>
    <w:link w:val="Heading1Char"/>
    <w:uiPriority w:val="9"/>
    <w:qFormat/>
    <w:rsid w:val="00907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FA"/>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9075FA"/>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9075FA"/>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9075FA"/>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9075FA"/>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9075FA"/>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9075FA"/>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9075FA"/>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9075FA"/>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907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FA"/>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907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FA"/>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9075FA"/>
    <w:pPr>
      <w:spacing w:before="160"/>
      <w:jc w:val="center"/>
    </w:pPr>
    <w:rPr>
      <w:i/>
      <w:iCs/>
      <w:color w:val="404040" w:themeColor="text1" w:themeTint="BF"/>
    </w:rPr>
  </w:style>
  <w:style w:type="character" w:customStyle="1" w:styleId="QuoteChar">
    <w:name w:val="Quote Char"/>
    <w:basedOn w:val="DefaultParagraphFont"/>
    <w:link w:val="Quote"/>
    <w:uiPriority w:val="29"/>
    <w:rsid w:val="009075FA"/>
    <w:rPr>
      <w:i/>
      <w:iCs/>
      <w:color w:val="404040" w:themeColor="text1" w:themeTint="BF"/>
      <w:lang w:val="et-EE"/>
    </w:rPr>
  </w:style>
  <w:style w:type="paragraph" w:styleId="ListParagraph">
    <w:name w:val="List Paragraph"/>
    <w:basedOn w:val="Normal"/>
    <w:uiPriority w:val="34"/>
    <w:qFormat/>
    <w:rsid w:val="009075FA"/>
    <w:pPr>
      <w:ind w:left="720"/>
      <w:contextualSpacing/>
    </w:pPr>
  </w:style>
  <w:style w:type="character" w:styleId="IntenseEmphasis">
    <w:name w:val="Intense Emphasis"/>
    <w:basedOn w:val="DefaultParagraphFont"/>
    <w:uiPriority w:val="21"/>
    <w:qFormat/>
    <w:rsid w:val="009075FA"/>
    <w:rPr>
      <w:i/>
      <w:iCs/>
      <w:color w:val="0F4761" w:themeColor="accent1" w:themeShade="BF"/>
    </w:rPr>
  </w:style>
  <w:style w:type="paragraph" w:styleId="IntenseQuote">
    <w:name w:val="Intense Quote"/>
    <w:basedOn w:val="Normal"/>
    <w:next w:val="Normal"/>
    <w:link w:val="IntenseQuoteChar"/>
    <w:uiPriority w:val="30"/>
    <w:qFormat/>
    <w:rsid w:val="00907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FA"/>
    <w:rPr>
      <w:i/>
      <w:iCs/>
      <w:color w:val="0F4761" w:themeColor="accent1" w:themeShade="BF"/>
      <w:lang w:val="et-EE"/>
    </w:rPr>
  </w:style>
  <w:style w:type="character" w:styleId="IntenseReference">
    <w:name w:val="Intense Reference"/>
    <w:basedOn w:val="DefaultParagraphFont"/>
    <w:uiPriority w:val="32"/>
    <w:qFormat/>
    <w:rsid w:val="009075FA"/>
    <w:rPr>
      <w:b/>
      <w:bCs/>
      <w:smallCaps/>
      <w:color w:val="0F4761" w:themeColor="accent1" w:themeShade="BF"/>
      <w:spacing w:val="5"/>
    </w:rPr>
  </w:style>
  <w:style w:type="paragraph" w:styleId="Header">
    <w:name w:val="header"/>
    <w:basedOn w:val="Normal"/>
    <w:link w:val="HeaderChar"/>
    <w:uiPriority w:val="99"/>
    <w:unhideWhenUsed/>
    <w:rsid w:val="00907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FA"/>
    <w:rPr>
      <w:kern w:val="0"/>
      <w14:ligatures w14:val="none"/>
    </w:rPr>
  </w:style>
  <w:style w:type="paragraph" w:styleId="Footer">
    <w:name w:val="footer"/>
    <w:basedOn w:val="Normal"/>
    <w:link w:val="FooterChar"/>
    <w:uiPriority w:val="99"/>
    <w:unhideWhenUsed/>
    <w:rsid w:val="009075FA"/>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9075FA"/>
    <w:rPr>
      <w:kern w:val="0"/>
      <w:sz w:val="16"/>
      <w14:ligatures w14:val="none"/>
    </w:rPr>
  </w:style>
  <w:style w:type="character" w:styleId="Hyperlink">
    <w:name w:val="Hyperlink"/>
    <w:basedOn w:val="DefaultParagraphFont"/>
    <w:uiPriority w:val="99"/>
    <w:unhideWhenUsed/>
    <w:rsid w:val="009075FA"/>
    <w:rPr>
      <w:color w:val="467886" w:themeColor="hyperlink"/>
      <w:u w:val="single"/>
    </w:rPr>
  </w:style>
  <w:style w:type="paragraph" w:styleId="FootnoteText">
    <w:name w:val="footnote text"/>
    <w:basedOn w:val="Normal"/>
    <w:link w:val="FootnoteTextChar"/>
    <w:uiPriority w:val="99"/>
    <w:semiHidden/>
    <w:unhideWhenUsed/>
    <w:rsid w:val="00A22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D81"/>
    <w:rPr>
      <w:kern w:val="0"/>
      <w:sz w:val="20"/>
      <w:szCs w:val="20"/>
      <w14:ligatures w14:val="none"/>
    </w:rPr>
  </w:style>
  <w:style w:type="character" w:styleId="FootnoteReference">
    <w:name w:val="footnote reference"/>
    <w:basedOn w:val="DefaultParagraphFont"/>
    <w:uiPriority w:val="99"/>
    <w:semiHidden/>
    <w:unhideWhenUsed/>
    <w:rsid w:val="00A22D81"/>
    <w:rPr>
      <w:vertAlign w:val="superscript"/>
    </w:rPr>
  </w:style>
  <w:style w:type="paragraph" w:styleId="Revision">
    <w:name w:val="Revision"/>
    <w:hidden/>
    <w:uiPriority w:val="99"/>
    <w:semiHidden/>
    <w:rsid w:val="00B1064B"/>
    <w:pPr>
      <w:spacing w:after="0" w:line="240" w:lineRule="auto"/>
    </w:pPr>
    <w:rPr>
      <w:kern w:val="0"/>
      <w14:ligatures w14:val="none"/>
    </w:rPr>
  </w:style>
  <w:style w:type="character" w:styleId="CommentReference">
    <w:name w:val="annotation reference"/>
    <w:basedOn w:val="DefaultParagraphFont"/>
    <w:uiPriority w:val="99"/>
    <w:semiHidden/>
    <w:unhideWhenUsed/>
    <w:rsid w:val="00B1064B"/>
    <w:rPr>
      <w:sz w:val="16"/>
      <w:szCs w:val="16"/>
    </w:rPr>
  </w:style>
  <w:style w:type="paragraph" w:styleId="CommentText">
    <w:name w:val="annotation text"/>
    <w:basedOn w:val="Normal"/>
    <w:link w:val="CommentTextChar"/>
    <w:uiPriority w:val="99"/>
    <w:unhideWhenUsed/>
    <w:rsid w:val="00B1064B"/>
    <w:pPr>
      <w:spacing w:line="240" w:lineRule="auto"/>
    </w:pPr>
    <w:rPr>
      <w:sz w:val="20"/>
      <w:szCs w:val="20"/>
    </w:rPr>
  </w:style>
  <w:style w:type="character" w:customStyle="1" w:styleId="CommentTextChar">
    <w:name w:val="Comment Text Char"/>
    <w:basedOn w:val="DefaultParagraphFont"/>
    <w:link w:val="CommentText"/>
    <w:uiPriority w:val="99"/>
    <w:rsid w:val="00B1064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064B"/>
    <w:rPr>
      <w:b/>
      <w:bCs/>
    </w:rPr>
  </w:style>
  <w:style w:type="character" w:customStyle="1" w:styleId="CommentSubjectChar">
    <w:name w:val="Comment Subject Char"/>
    <w:basedOn w:val="CommentTextChar"/>
    <w:link w:val="CommentSubject"/>
    <w:uiPriority w:val="99"/>
    <w:semiHidden/>
    <w:rsid w:val="00B1064B"/>
    <w:rPr>
      <w:b/>
      <w:bCs/>
      <w:kern w:val="0"/>
      <w:sz w:val="20"/>
      <w:szCs w:val="20"/>
      <w14:ligatures w14:val="none"/>
    </w:rPr>
  </w:style>
  <w:style w:type="character" w:styleId="UnresolvedMention">
    <w:name w:val="Unresolved Mention"/>
    <w:basedOn w:val="DefaultParagraphFont"/>
    <w:uiPriority w:val="99"/>
    <w:semiHidden/>
    <w:unhideWhenUsed/>
    <w:rsid w:val="00F9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69439">
      <w:bodyDiv w:val="1"/>
      <w:marLeft w:val="0"/>
      <w:marRight w:val="0"/>
      <w:marTop w:val="0"/>
      <w:marBottom w:val="0"/>
      <w:divBdr>
        <w:top w:val="none" w:sz="0" w:space="0" w:color="auto"/>
        <w:left w:val="none" w:sz="0" w:space="0" w:color="auto"/>
        <w:bottom w:val="none" w:sz="0" w:space="0" w:color="auto"/>
        <w:right w:val="none" w:sz="0" w:space="0" w:color="auto"/>
      </w:divBdr>
    </w:div>
    <w:div w:id="349720915">
      <w:bodyDiv w:val="1"/>
      <w:marLeft w:val="0"/>
      <w:marRight w:val="0"/>
      <w:marTop w:val="0"/>
      <w:marBottom w:val="0"/>
      <w:divBdr>
        <w:top w:val="none" w:sz="0" w:space="0" w:color="auto"/>
        <w:left w:val="none" w:sz="0" w:space="0" w:color="auto"/>
        <w:bottom w:val="none" w:sz="0" w:space="0" w:color="auto"/>
        <w:right w:val="none" w:sz="0" w:space="0" w:color="auto"/>
      </w:divBdr>
    </w:div>
    <w:div w:id="863790885">
      <w:bodyDiv w:val="1"/>
      <w:marLeft w:val="0"/>
      <w:marRight w:val="0"/>
      <w:marTop w:val="0"/>
      <w:marBottom w:val="0"/>
      <w:divBdr>
        <w:top w:val="none" w:sz="0" w:space="0" w:color="auto"/>
        <w:left w:val="none" w:sz="0" w:space="0" w:color="auto"/>
        <w:bottom w:val="none" w:sz="0" w:space="0" w:color="auto"/>
        <w:right w:val="none" w:sz="0" w:space="0" w:color="auto"/>
      </w:divBdr>
    </w:div>
    <w:div w:id="1240138336">
      <w:bodyDiv w:val="1"/>
      <w:marLeft w:val="0"/>
      <w:marRight w:val="0"/>
      <w:marTop w:val="0"/>
      <w:marBottom w:val="0"/>
      <w:divBdr>
        <w:top w:val="none" w:sz="0" w:space="0" w:color="auto"/>
        <w:left w:val="none" w:sz="0" w:space="0" w:color="auto"/>
        <w:bottom w:val="none" w:sz="0" w:space="0" w:color="auto"/>
        <w:right w:val="none" w:sz="0" w:space="0" w:color="auto"/>
      </w:divBdr>
    </w:div>
    <w:div w:id="1500732977">
      <w:bodyDiv w:val="1"/>
      <w:marLeft w:val="0"/>
      <w:marRight w:val="0"/>
      <w:marTop w:val="0"/>
      <w:marBottom w:val="0"/>
      <w:divBdr>
        <w:top w:val="none" w:sz="0" w:space="0" w:color="auto"/>
        <w:left w:val="none" w:sz="0" w:space="0" w:color="auto"/>
        <w:bottom w:val="none" w:sz="0" w:space="0" w:color="auto"/>
        <w:right w:val="none" w:sz="0" w:space="0" w:color="auto"/>
      </w:divBdr>
    </w:div>
    <w:div w:id="1653944274">
      <w:bodyDiv w:val="1"/>
      <w:marLeft w:val="0"/>
      <w:marRight w:val="0"/>
      <w:marTop w:val="0"/>
      <w:marBottom w:val="0"/>
      <w:divBdr>
        <w:top w:val="none" w:sz="0" w:space="0" w:color="auto"/>
        <w:left w:val="none" w:sz="0" w:space="0" w:color="auto"/>
        <w:bottom w:val="none" w:sz="0" w:space="0" w:color="auto"/>
        <w:right w:val="none" w:sz="0" w:space="0" w:color="auto"/>
      </w:divBdr>
    </w:div>
    <w:div w:id="21232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stasia.Nezgovorova@koda.ee" TargetMode="External"/><Relationship Id="rId4" Type="http://schemas.openxmlformats.org/officeDocument/2006/relationships/settings" Target="settings.xml"/><Relationship Id="rId9" Type="http://schemas.openxmlformats.org/officeDocument/2006/relationships/hyperlink" Target="mailto:ireen.tarto@koda.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tat.ee/et/avasta-statistikat/valdkonnad/tooelu/sissetul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026E-4E8D-435B-925E-533644D7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2419</Words>
  <Characters>14032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2024-03-07T08:51:00Z</dcterms:created>
  <dcterms:modified xsi:type="dcterms:W3CDTF">2024-03-07T08:51:00Z</dcterms:modified>
</cp:coreProperties>
</file>